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0152" w14:textId="7BE1EF2C" w:rsidR="00F04A24" w:rsidRDefault="00EE2C2B" w:rsidP="6075BB5C">
      <w:pPr>
        <w:pStyle w:val="xmsonormal"/>
        <w:spacing w:line="260" w:lineRule="atLeast"/>
        <w:rPr>
          <w:rFonts w:asciiTheme="minorHAnsi" w:eastAsiaTheme="minorEastAsia" w:hAnsiTheme="minorHAnsi" w:cstheme="minorBidi"/>
          <w:b/>
          <w:bCs/>
          <w:sz w:val="22"/>
          <w:szCs w:val="22"/>
          <w:lang w:val="fr-CH"/>
        </w:rPr>
      </w:pPr>
      <w:r w:rsidRPr="00EE2C2B">
        <w:rPr>
          <w:rFonts w:asciiTheme="minorHAnsi" w:eastAsiaTheme="minorEastAsia" w:hAnsiTheme="minorHAnsi" w:cstheme="minorBidi"/>
          <w:b/>
          <w:bCs/>
          <w:sz w:val="22"/>
          <w:szCs w:val="22"/>
          <w:lang w:val="fr-CH"/>
        </w:rPr>
        <w:t xml:space="preserve">Demande de garantie de remboursement pour </w:t>
      </w:r>
      <w:proofErr w:type="spellStart"/>
      <w:r w:rsidRPr="00EE2C2B">
        <w:rPr>
          <w:rFonts w:asciiTheme="minorHAnsi" w:eastAsiaTheme="minorEastAsia" w:hAnsiTheme="minorHAnsi" w:cstheme="minorBidi"/>
          <w:b/>
          <w:bCs/>
          <w:sz w:val="22"/>
          <w:szCs w:val="22"/>
          <w:lang w:val="fr-CH"/>
        </w:rPr>
        <w:t>Tavneos</w:t>
      </w:r>
      <w:proofErr w:type="spellEnd"/>
      <w:r w:rsidRPr="00EE2C2B">
        <w:rPr>
          <w:rFonts w:asciiTheme="minorHAnsi" w:eastAsiaTheme="minorEastAsia" w:hAnsiTheme="minorHAnsi" w:cstheme="minorBidi"/>
          <w:b/>
          <w:bCs/>
          <w:sz w:val="22"/>
          <w:szCs w:val="22"/>
          <w:lang w:val="fr-CH"/>
        </w:rPr>
        <w:t xml:space="preserve"> 180 capsules de 10mg chacune</w:t>
      </w:r>
    </w:p>
    <w:p w14:paraId="25A15EE6" w14:textId="77777777" w:rsidR="00EE2C2B" w:rsidRPr="00EE2C2B" w:rsidRDefault="00EE2C2B" w:rsidP="6075BB5C">
      <w:pPr>
        <w:pStyle w:val="xmsonormal"/>
        <w:spacing w:line="260" w:lineRule="atLeast"/>
        <w:rPr>
          <w:rFonts w:eastAsiaTheme="minorEastAsia"/>
          <w:sz w:val="22"/>
          <w:szCs w:val="22"/>
          <w:lang w:val="fr-CH"/>
        </w:rPr>
      </w:pPr>
    </w:p>
    <w:p w14:paraId="17041165" w14:textId="726F7DC1" w:rsidR="00AC3DD1" w:rsidRPr="00EE2C2B" w:rsidRDefault="00EE2C2B" w:rsidP="00AC3DD1">
      <w:pPr>
        <w:pStyle w:val="xmsonormal"/>
        <w:spacing w:line="260" w:lineRule="atLeast"/>
        <w:rPr>
          <w:rFonts w:eastAsiaTheme="minorEastAsia"/>
          <w:sz w:val="22"/>
          <w:szCs w:val="22"/>
          <w:lang w:val="fr-CH"/>
        </w:rPr>
      </w:pPr>
      <w:r w:rsidRPr="00EE2C2B">
        <w:rPr>
          <w:rFonts w:eastAsiaTheme="minorEastAsia"/>
          <w:sz w:val="22"/>
          <w:szCs w:val="22"/>
          <w:lang w:val="fr-CH"/>
        </w:rPr>
        <w:t>Mesdames et Messieurs</w:t>
      </w:r>
      <w:r w:rsidR="00AC3DD1" w:rsidRPr="00EE2C2B">
        <w:rPr>
          <w:rFonts w:eastAsiaTheme="minorEastAsia"/>
          <w:sz w:val="22"/>
          <w:szCs w:val="22"/>
          <w:lang w:val="fr-CH"/>
        </w:rPr>
        <w:t> </w:t>
      </w:r>
    </w:p>
    <w:p w14:paraId="013169C6" w14:textId="77777777" w:rsidR="00F04A24" w:rsidRPr="00EE2C2B" w:rsidRDefault="00F04A24" w:rsidP="00AC3DD1">
      <w:pPr>
        <w:pStyle w:val="xmsonormal"/>
        <w:spacing w:line="260" w:lineRule="atLeast"/>
        <w:rPr>
          <w:rFonts w:eastAsiaTheme="minorEastAsia"/>
          <w:sz w:val="22"/>
          <w:szCs w:val="22"/>
          <w:lang w:val="fr-CH"/>
        </w:rPr>
      </w:pPr>
    </w:p>
    <w:p w14:paraId="7088063C" w14:textId="0CC40453" w:rsidR="00EE2C2B" w:rsidRPr="00EE2C2B" w:rsidRDefault="00EE2C2B" w:rsidP="2690FFD7">
      <w:pPr>
        <w:pStyle w:val="xmsonormal"/>
        <w:spacing w:line="260" w:lineRule="atLeast"/>
        <w:rPr>
          <w:rFonts w:eastAsiaTheme="minorEastAsia"/>
          <w:sz w:val="22"/>
          <w:szCs w:val="22"/>
          <w:lang w:val="fr-CH"/>
        </w:rPr>
      </w:pPr>
      <w:r w:rsidRPr="2690FFD7">
        <w:rPr>
          <w:rFonts w:eastAsiaTheme="minorEastAsia"/>
          <w:sz w:val="22"/>
          <w:szCs w:val="22"/>
          <w:lang w:val="fr-CH"/>
        </w:rPr>
        <w:t xml:space="preserve">Par la présente, je vous demande de garantie de paiement pour le médicament </w:t>
      </w:r>
      <w:proofErr w:type="spellStart"/>
      <w:r w:rsidRPr="2690FFD7">
        <w:rPr>
          <w:rFonts w:eastAsiaTheme="minorEastAsia"/>
          <w:sz w:val="22"/>
          <w:szCs w:val="22"/>
          <w:lang w:val="fr-CH"/>
        </w:rPr>
        <w:t>Tavneos</w:t>
      </w:r>
      <w:proofErr w:type="spellEnd"/>
      <w:r w:rsidRPr="2690FFD7">
        <w:rPr>
          <w:rFonts w:eastAsiaTheme="minorEastAsia"/>
          <w:sz w:val="22"/>
          <w:szCs w:val="22"/>
          <w:lang w:val="fr-CH"/>
        </w:rPr>
        <w:t xml:space="preserve"> (</w:t>
      </w:r>
      <w:proofErr w:type="spellStart"/>
      <w:r w:rsidRPr="2690FFD7">
        <w:rPr>
          <w:rFonts w:eastAsiaTheme="minorEastAsia"/>
          <w:sz w:val="22"/>
          <w:szCs w:val="22"/>
          <w:lang w:val="fr-CH"/>
        </w:rPr>
        <w:t>Avacopan</w:t>
      </w:r>
      <w:proofErr w:type="spellEnd"/>
      <w:r w:rsidRPr="2690FFD7">
        <w:rPr>
          <w:rFonts w:eastAsiaTheme="minorEastAsia"/>
          <w:sz w:val="22"/>
          <w:szCs w:val="22"/>
          <w:lang w:val="fr-CH"/>
        </w:rPr>
        <w:t xml:space="preserve">) pour </w:t>
      </w:r>
      <w:r w:rsidRPr="2690FFD7">
        <w:rPr>
          <w:rFonts w:eastAsiaTheme="minorEastAsia"/>
          <w:sz w:val="22"/>
          <w:szCs w:val="22"/>
          <w:highlight w:val="yellow"/>
          <w:lang w:val="fr-CH"/>
        </w:rPr>
        <w:t>NOM patient, année de naissance, numéro d'assuré du XX.XX.2022.</w:t>
      </w:r>
    </w:p>
    <w:p w14:paraId="05F3CF8F" w14:textId="2D641380" w:rsidR="00F04A24" w:rsidRPr="00EE2C2B" w:rsidRDefault="00EE2C2B" w:rsidP="00EE2C2B">
      <w:pPr>
        <w:pStyle w:val="xmsonormal"/>
        <w:spacing w:line="260" w:lineRule="atLeast"/>
        <w:rPr>
          <w:rFonts w:eastAsiaTheme="minorEastAsia"/>
          <w:sz w:val="22"/>
          <w:szCs w:val="22"/>
          <w:lang w:val="fr-CH"/>
        </w:rPr>
      </w:pPr>
      <w:r w:rsidRPr="00EE2C2B">
        <w:rPr>
          <w:rFonts w:eastAsiaTheme="minorEastAsia"/>
          <w:sz w:val="22"/>
          <w:szCs w:val="22"/>
          <w:lang w:val="fr-CH"/>
        </w:rPr>
        <w:t xml:space="preserve">Comme vous pouvez le constater ci-dessous, les conditions pour une prise en charge des coûts selon l'article 71a-c </w:t>
      </w:r>
      <w:proofErr w:type="spellStart"/>
      <w:r w:rsidRPr="00EE2C2B">
        <w:rPr>
          <w:rFonts w:eastAsiaTheme="minorEastAsia"/>
          <w:sz w:val="22"/>
          <w:szCs w:val="22"/>
          <w:lang w:val="fr-CH"/>
        </w:rPr>
        <w:t>OAMal</w:t>
      </w:r>
      <w:proofErr w:type="spellEnd"/>
      <w:r w:rsidRPr="00EE2C2B">
        <w:rPr>
          <w:rFonts w:eastAsiaTheme="minorEastAsia"/>
          <w:sz w:val="22"/>
          <w:szCs w:val="22"/>
          <w:lang w:val="fr-CH"/>
        </w:rPr>
        <w:t xml:space="preserve"> sont clairement remplies pour le patient mentionné.</w:t>
      </w:r>
    </w:p>
    <w:p w14:paraId="541CE9F6" w14:textId="7448614D" w:rsidR="00AC3DD1" w:rsidRPr="00EE2C2B" w:rsidRDefault="00AC3DD1" w:rsidP="00AC3DD1">
      <w:pPr>
        <w:pStyle w:val="xmsonormal"/>
        <w:spacing w:line="260" w:lineRule="atLeast"/>
        <w:rPr>
          <w:rFonts w:eastAsiaTheme="minorEastAsia"/>
          <w:color w:val="4472C4"/>
          <w:sz w:val="22"/>
          <w:szCs w:val="22"/>
          <w:lang w:val="fr-CH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074"/>
        <w:gridCol w:w="3902"/>
        <w:gridCol w:w="3084"/>
      </w:tblGrid>
      <w:tr w:rsidR="0007200C" w14:paraId="5C49CACE" w14:textId="77777777" w:rsidTr="009F2D6A">
        <w:trPr>
          <w:trHeight w:val="269"/>
        </w:trPr>
        <w:tc>
          <w:tcPr>
            <w:tcW w:w="2074" w:type="dxa"/>
          </w:tcPr>
          <w:p w14:paraId="5A75571D" w14:textId="77777777" w:rsidR="00EE2C2B" w:rsidRPr="00EE2C2B" w:rsidRDefault="00EE2C2B" w:rsidP="00EE2C2B">
            <w:pPr>
              <w:pStyle w:val="xmsonormal"/>
              <w:spacing w:line="260" w:lineRule="atLeast"/>
              <w:rPr>
                <w:rFonts w:eastAsiaTheme="minorEastAsia"/>
                <w:b/>
                <w:bCs/>
                <w:sz w:val="22"/>
                <w:szCs w:val="22"/>
                <w:lang w:val="en-GB"/>
              </w:rPr>
            </w:pPr>
            <w:bookmarkStart w:id="0" w:name="_Hlk120015383"/>
            <w:r w:rsidRPr="00EE2C2B">
              <w:rPr>
                <w:rFonts w:eastAsiaTheme="minorEastAsia"/>
                <w:b/>
                <w:bCs/>
                <w:sz w:val="22"/>
                <w:szCs w:val="22"/>
                <w:lang w:val="en-GB"/>
              </w:rPr>
              <w:t xml:space="preserve">Conditions </w:t>
            </w:r>
          </w:p>
          <w:p w14:paraId="1A2FEE0C" w14:textId="629BDC0F" w:rsidR="0007200C" w:rsidRPr="00EE2C2B" w:rsidRDefault="00EE2C2B" w:rsidP="00EE2C2B">
            <w:pPr>
              <w:pStyle w:val="xmsonormal"/>
              <w:spacing w:line="260" w:lineRule="atLeast"/>
              <w:rPr>
                <w:rFonts w:eastAsiaTheme="minorEastAsia"/>
                <w:b/>
                <w:bCs/>
                <w:sz w:val="22"/>
                <w:szCs w:val="22"/>
                <w:lang w:val="en-GB"/>
              </w:rPr>
            </w:pPr>
            <w:r w:rsidRPr="00EE2C2B">
              <w:rPr>
                <w:rFonts w:eastAsiaTheme="minorEastAsia"/>
                <w:b/>
                <w:bCs/>
                <w:sz w:val="22"/>
                <w:szCs w:val="22"/>
                <w:lang w:val="en-GB"/>
              </w:rPr>
              <w:t xml:space="preserve">Art. 71a-d </w:t>
            </w:r>
            <w:proofErr w:type="spellStart"/>
            <w:r w:rsidRPr="00EE2C2B">
              <w:rPr>
                <w:rFonts w:eastAsiaTheme="minorEastAsia"/>
                <w:b/>
                <w:bCs/>
                <w:sz w:val="22"/>
                <w:szCs w:val="22"/>
                <w:lang w:val="en-GB"/>
              </w:rPr>
              <w:t>OAMal</w:t>
            </w:r>
            <w:proofErr w:type="spellEnd"/>
          </w:p>
        </w:tc>
        <w:tc>
          <w:tcPr>
            <w:tcW w:w="6986" w:type="dxa"/>
            <w:gridSpan w:val="2"/>
          </w:tcPr>
          <w:p w14:paraId="1C942E0B" w14:textId="685BA42F" w:rsidR="0007200C" w:rsidRPr="00977AAB" w:rsidRDefault="00EE2C2B" w:rsidP="00AC3DD1">
            <w:pPr>
              <w:pStyle w:val="xmsonormal"/>
              <w:spacing w:line="260" w:lineRule="atLeast"/>
              <w:rPr>
                <w:rFonts w:eastAsiaTheme="minorEastAsia"/>
                <w:color w:val="4472C4"/>
              </w:rPr>
            </w:pPr>
            <w:proofErr w:type="spellStart"/>
            <w:r>
              <w:rPr>
                <w:rFonts w:eastAsiaTheme="minorEastAsia"/>
                <w:b/>
                <w:bCs/>
                <w:sz w:val="22"/>
                <w:szCs w:val="22"/>
              </w:rPr>
              <w:t>Nécessité</w:t>
            </w:r>
            <w:proofErr w:type="spellEnd"/>
          </w:p>
        </w:tc>
      </w:tr>
      <w:bookmarkEnd w:id="0"/>
      <w:tr w:rsidR="0007200C" w:rsidRPr="001C78C3" w14:paraId="562A202A" w14:textId="77777777" w:rsidTr="009F2D6A">
        <w:trPr>
          <w:trHeight w:val="664"/>
        </w:trPr>
        <w:tc>
          <w:tcPr>
            <w:tcW w:w="2074" w:type="dxa"/>
          </w:tcPr>
          <w:p w14:paraId="4734A04A" w14:textId="7503FB64" w:rsidR="0007200C" w:rsidRPr="00C03835" w:rsidRDefault="00EE2C2B" w:rsidP="0F963C2B">
            <w:pPr>
              <w:pStyle w:val="xmsonormal"/>
              <w:spacing w:line="260" w:lineRule="atLeast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Autorisation Swissmedic: 19.9.2022</w:t>
            </w:r>
          </w:p>
        </w:tc>
        <w:tc>
          <w:tcPr>
            <w:tcW w:w="6986" w:type="dxa"/>
            <w:gridSpan w:val="2"/>
          </w:tcPr>
          <w:p w14:paraId="2547FFB9" w14:textId="12F92075" w:rsidR="0007200C" w:rsidRPr="00EE2C2B" w:rsidRDefault="00F6331D" w:rsidP="00EE2C2B">
            <w:pPr>
              <w:autoSpaceDE w:val="0"/>
              <w:autoSpaceDN w:val="0"/>
              <w:adjustRightInd w:val="0"/>
              <w:rPr>
                <w:b/>
                <w:bCs/>
                <w:color w:val="4472C4"/>
                <w:lang w:val="fr-CH"/>
              </w:rPr>
            </w:pPr>
            <w:bookmarkStart w:id="1" w:name="OLE_LINK6"/>
            <w:proofErr w:type="gramStart"/>
            <w:r w:rsidRPr="00F6331D">
              <w:rPr>
                <w:rStyle w:val="normaltextrun"/>
                <w:rFonts w:cstheme="minorHAnsi"/>
                <w:b/>
                <w:bCs/>
                <w:i/>
                <w:iCs/>
                <w:color w:val="000000"/>
                <w:shd w:val="clear" w:color="auto" w:fill="FFFFFF"/>
                <w:lang w:val="fr-CH"/>
              </w:rPr>
              <w:t>Indication</w:t>
            </w:r>
            <w:r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>:</w:t>
            </w:r>
            <w:proofErr w:type="gramEnd"/>
            <w:r w:rsidR="0007200C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 xml:space="preserve"> </w:t>
            </w:r>
            <w:proofErr w:type="spellStart"/>
            <w:r w:rsidR="00EE2C2B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>Tavneos</w:t>
            </w:r>
            <w:proofErr w:type="spellEnd"/>
            <w:r w:rsidR="00EE2C2B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 xml:space="preserve">, comme traitement d'appoint d’un traitement immunosuppresseur standard </w:t>
            </w:r>
            <w:r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>à</w:t>
            </w:r>
            <w:r w:rsidR="00EE2C2B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 xml:space="preserve"> base</w:t>
            </w:r>
            <w:r w:rsidR="00EE2C2B" w:rsidRPr="006B3DB5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 xml:space="preserve"> </w:t>
            </w:r>
            <w:r w:rsidR="00EE2C2B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 xml:space="preserve">de rituximab ou cyclophosphamide avec </w:t>
            </w:r>
            <w:r w:rsidR="006B3DB5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>glucocortico</w:t>
            </w:r>
            <w:r w:rsidR="006B3DB5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>ï</w:t>
            </w:r>
            <w:r w:rsidR="006B3DB5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>des</w:t>
            </w:r>
            <w:r w:rsidR="00EE2C2B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 xml:space="preserve">, est </w:t>
            </w:r>
            <w:r w:rsidR="006B3DB5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>indiqué</w:t>
            </w:r>
            <w:r w:rsidR="00EE2C2B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 xml:space="preserve"> dans le traitement des</w:t>
            </w:r>
            <w:r w:rsidR="00EE2C2B" w:rsidRPr="006B3DB5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 xml:space="preserve"> </w:t>
            </w:r>
            <w:r w:rsidR="00EE2C2B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 xml:space="preserve">patients adultes atteints de vascularite active </w:t>
            </w:r>
            <w:r w:rsidR="006B3DB5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>sévère</w:t>
            </w:r>
            <w:r w:rsidR="00EE2C2B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 xml:space="preserve"> </w:t>
            </w:r>
            <w:r w:rsidR="006B3DB5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>associée</w:t>
            </w:r>
            <w:r w:rsidR="00EE2C2B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 xml:space="preserve"> aux auto-anticorps</w:t>
            </w:r>
            <w:r w:rsidR="00EE2C2B" w:rsidRPr="006B3DB5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 xml:space="preserve"> </w:t>
            </w:r>
            <w:proofErr w:type="spellStart"/>
            <w:r w:rsidR="00EE2C2B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>anticytoplasme</w:t>
            </w:r>
            <w:proofErr w:type="spellEnd"/>
            <w:r w:rsidR="00EE2C2B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 xml:space="preserve"> des </w:t>
            </w:r>
            <w:proofErr w:type="spellStart"/>
            <w:r w:rsidR="00EE2C2B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>polynucleaires</w:t>
            </w:r>
            <w:proofErr w:type="spellEnd"/>
            <w:r w:rsidR="00EE2C2B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 xml:space="preserve"> neutrophiles (ANCA) (granulomatose avec </w:t>
            </w:r>
            <w:proofErr w:type="spellStart"/>
            <w:r w:rsidR="00EE2C2B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>polyangeite</w:t>
            </w:r>
            <w:proofErr w:type="spellEnd"/>
            <w:r w:rsidR="00EE2C2B" w:rsidRPr="006B3DB5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 xml:space="preserve"> </w:t>
            </w:r>
            <w:r w:rsidR="00EE2C2B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 xml:space="preserve">(GPA) et </w:t>
            </w:r>
            <w:proofErr w:type="spellStart"/>
            <w:r w:rsidR="00EE2C2B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>polyangeite</w:t>
            </w:r>
            <w:proofErr w:type="spellEnd"/>
            <w:r w:rsidR="00EE2C2B" w:rsidRPr="0050297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fr-CH"/>
              </w:rPr>
              <w:t xml:space="preserve"> microscopique (PAM))</w:t>
            </w:r>
            <w:bookmarkEnd w:id="1"/>
          </w:p>
        </w:tc>
      </w:tr>
      <w:tr w:rsidR="00172DCD" w14:paraId="50C078DF" w14:textId="77777777" w:rsidTr="009F2D6A">
        <w:trPr>
          <w:trHeight w:val="134"/>
        </w:trPr>
        <w:tc>
          <w:tcPr>
            <w:tcW w:w="2074" w:type="dxa"/>
          </w:tcPr>
          <w:p w14:paraId="0908B022" w14:textId="77777777" w:rsidR="00172DCD" w:rsidRPr="00EE2C2B" w:rsidRDefault="00172DCD" w:rsidP="0F963C2B">
            <w:pPr>
              <w:pStyle w:val="xmsonormal"/>
              <w:spacing w:line="260" w:lineRule="atLeast"/>
              <w:rPr>
                <w:rFonts w:eastAsiaTheme="minorEastAsia"/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3902" w:type="dxa"/>
          </w:tcPr>
          <w:p w14:paraId="2D59BB74" w14:textId="1AFE1E60" w:rsidR="00172DCD" w:rsidRPr="00EE2C2B" w:rsidRDefault="00EE2C2B" w:rsidP="00AC3DD1">
            <w:pPr>
              <w:pStyle w:val="xmsonormal"/>
              <w:spacing w:line="260" w:lineRule="atLeast"/>
              <w:rPr>
                <w:rStyle w:val="normaltextrun"/>
                <w:color w:val="4472C4"/>
              </w:rPr>
            </w:pPr>
            <w:proofErr w:type="spellStart"/>
            <w:r>
              <w:rPr>
                <w:rFonts w:eastAsiaTheme="minorEastAsia"/>
                <w:b/>
                <w:bCs/>
                <w:sz w:val="22"/>
                <w:szCs w:val="22"/>
              </w:rPr>
              <w:t>Nécessité</w:t>
            </w:r>
            <w:proofErr w:type="spellEnd"/>
          </w:p>
        </w:tc>
        <w:tc>
          <w:tcPr>
            <w:tcW w:w="3084" w:type="dxa"/>
          </w:tcPr>
          <w:p w14:paraId="66792655" w14:textId="308DA163" w:rsidR="00172DCD" w:rsidRPr="00977AAB" w:rsidRDefault="00EE2C2B" w:rsidP="00AC3DD1">
            <w:pPr>
              <w:pStyle w:val="xmsonormal"/>
              <w:spacing w:line="260" w:lineRule="atLeast"/>
              <w:rPr>
                <w:rFonts w:eastAsiaTheme="minorEastAsia"/>
                <w:b/>
                <w:bCs/>
                <w:color w:val="4472C4"/>
                <w:sz w:val="22"/>
                <w:szCs w:val="22"/>
              </w:rPr>
            </w:pPr>
            <w:r w:rsidRPr="00EE2C2B">
              <w:rPr>
                <w:b/>
                <w:bCs/>
                <w:shd w:val="pct15" w:color="auto" w:fill="FFFFFF"/>
              </w:rPr>
              <w:t>Cas de</w:t>
            </w:r>
            <w:commentRangeStart w:id="2"/>
            <w:r w:rsidRPr="00EE2C2B">
              <w:rPr>
                <w:b/>
                <w:bCs/>
                <w:shd w:val="pct15" w:color="auto" w:fill="FFFFFF"/>
              </w:rPr>
              <w:t xml:space="preserve"> </w:t>
            </w:r>
            <w:proofErr w:type="spellStart"/>
            <w:r w:rsidRPr="00EE2C2B">
              <w:rPr>
                <w:b/>
                <w:bCs/>
                <w:shd w:val="pct15" w:color="auto" w:fill="FFFFFF"/>
              </w:rPr>
              <w:t>patient</w:t>
            </w:r>
            <w:proofErr w:type="spellEnd"/>
            <w:r w:rsidRPr="00EE2C2B">
              <w:rPr>
                <w:b/>
                <w:bCs/>
              </w:rPr>
              <w:t xml:space="preserve"> </w:t>
            </w:r>
            <w:commentRangeEnd w:id="2"/>
            <w:r w:rsidR="008F749D">
              <w:rPr>
                <w:rStyle w:val="CommentReference"/>
                <w:rFonts w:asciiTheme="minorHAnsi" w:eastAsiaTheme="minorEastAsia" w:hAnsiTheme="minorHAnsi" w:cstheme="minorBidi"/>
              </w:rPr>
              <w:commentReference w:id="2"/>
            </w:r>
          </w:p>
        </w:tc>
      </w:tr>
      <w:tr w:rsidR="002411DC" w:rsidRPr="00ED455D" w14:paraId="40CD57FA" w14:textId="77777777" w:rsidTr="009F2D6A">
        <w:trPr>
          <w:trHeight w:val="530"/>
        </w:trPr>
        <w:tc>
          <w:tcPr>
            <w:tcW w:w="2074" w:type="dxa"/>
          </w:tcPr>
          <w:p w14:paraId="0D982F50" w14:textId="270A801B" w:rsidR="00DB5A47" w:rsidRPr="000C63B1" w:rsidRDefault="00EE2C2B" w:rsidP="00AC3DD1">
            <w:pPr>
              <w:pStyle w:val="xmsonormal"/>
              <w:spacing w:line="260" w:lineRule="atLeast"/>
              <w:rPr>
                <w:rFonts w:eastAsiaTheme="minorEastAsia"/>
                <w:b/>
                <w:lang w:val="en-US"/>
              </w:rPr>
            </w:pPr>
            <w:proofErr w:type="spellStart"/>
            <w:r>
              <w:rPr>
                <w:rFonts w:eastAsiaTheme="minorEastAsia"/>
                <w:b/>
              </w:rPr>
              <w:t>Mortel</w:t>
            </w:r>
            <w:proofErr w:type="spellEnd"/>
            <w:r>
              <w:rPr>
                <w:rFonts w:eastAsiaTheme="minorEastAsia"/>
                <w:b/>
              </w:rPr>
              <w:t xml:space="preserve"> /grave et </w:t>
            </w:r>
            <w:proofErr w:type="spellStart"/>
            <w:r>
              <w:rPr>
                <w:rFonts w:eastAsiaTheme="minorEastAsia"/>
                <w:b/>
              </w:rPr>
              <w:t>chronique</w:t>
            </w:r>
            <w:proofErr w:type="spellEnd"/>
          </w:p>
        </w:tc>
        <w:tc>
          <w:tcPr>
            <w:tcW w:w="3902" w:type="dxa"/>
          </w:tcPr>
          <w:p w14:paraId="225BC257" w14:textId="4FDBE671" w:rsidR="00DB5A47" w:rsidRPr="00EE2C2B" w:rsidDel="002E3004" w:rsidRDefault="00EE2C2B" w:rsidP="0F963C2B">
            <w:pPr>
              <w:pStyle w:val="xmsonormal"/>
              <w:spacing w:line="260" w:lineRule="atLeast"/>
              <w:rPr>
                <w:rFonts w:eastAsiaTheme="minorEastAsia"/>
                <w:lang w:val="fr-CH"/>
              </w:rPr>
            </w:pPr>
            <w:r w:rsidRPr="00EE2C2B">
              <w:rPr>
                <w:rFonts w:eastAsiaTheme="minorEastAsia"/>
                <w:lang w:val="fr-CH"/>
              </w:rPr>
              <w:t>La vascularite associée à l'</w:t>
            </w:r>
            <w:proofErr w:type="spellStart"/>
            <w:r w:rsidRPr="00EE2C2B">
              <w:rPr>
                <w:rFonts w:eastAsiaTheme="minorEastAsia"/>
                <w:lang w:val="fr-CH"/>
              </w:rPr>
              <w:t>Anca</w:t>
            </w:r>
            <w:proofErr w:type="spellEnd"/>
            <w:r w:rsidRPr="00EE2C2B">
              <w:rPr>
                <w:rFonts w:eastAsiaTheme="minorEastAsia"/>
                <w:lang w:val="fr-CH"/>
              </w:rPr>
              <w:t xml:space="preserve"> est une maladie systémique et chronique avec une forte implication des organes, qui peut entraîner la mort en l'espace d'un an si elle n'est pas traitée.</w:t>
            </w:r>
          </w:p>
        </w:tc>
        <w:sdt>
          <w:sdtPr>
            <w:rPr>
              <w:rFonts w:eastAsiaTheme="minorEastAsia"/>
              <w:color w:val="4472C4"/>
              <w:lang w:val="fr-CH"/>
            </w:rPr>
            <w:id w:val="5744729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84" w:type="dxa"/>
              </w:tcPr>
              <w:p w14:paraId="353B58E0" w14:textId="38952C5A" w:rsidR="002755C3" w:rsidRPr="00ED455D" w:rsidRDefault="00ED455D" w:rsidP="00E43EF1">
                <w:pPr>
                  <w:pStyle w:val="xmsonormal"/>
                  <w:spacing w:line="260" w:lineRule="atLeast"/>
                  <w:rPr>
                    <w:rFonts w:eastAsiaTheme="minorEastAsia"/>
                    <w:color w:val="4472C4"/>
                  </w:rPr>
                </w:pPr>
                <w:r w:rsidRPr="00ED455D">
                  <w:rPr>
                    <w:rStyle w:val="PlaceholderText"/>
                    <w:shd w:val="clear" w:color="auto" w:fill="AEAAAA" w:themeFill="background2" w:themeFillShade="BF"/>
                  </w:rPr>
                  <w:t>Klicken oder tippen Sie hier, um Text einzugeben.</w:t>
                </w:r>
              </w:p>
            </w:tc>
          </w:sdtContent>
        </w:sdt>
      </w:tr>
      <w:tr w:rsidR="002411DC" w:rsidRPr="00ED455D" w14:paraId="0BC32295" w14:textId="77777777" w:rsidTr="009F2D6A">
        <w:trPr>
          <w:trHeight w:val="2003"/>
        </w:trPr>
        <w:tc>
          <w:tcPr>
            <w:tcW w:w="2074" w:type="dxa"/>
          </w:tcPr>
          <w:p w14:paraId="7D4FB69B" w14:textId="08C335E1" w:rsidR="00E43EF1" w:rsidRPr="00EE2C2B" w:rsidRDefault="00EE2C2B" w:rsidP="00E43EF1">
            <w:pPr>
              <w:pStyle w:val="xmsonormal"/>
              <w:spacing w:line="260" w:lineRule="atLeast"/>
              <w:rPr>
                <w:b/>
                <w:bCs/>
                <w:lang w:val="fr-CH"/>
              </w:rPr>
            </w:pPr>
            <w:bookmarkStart w:id="3" w:name="OLE_LINK12"/>
            <w:commentRangeStart w:id="4"/>
            <w:r w:rsidRPr="00EE2C2B">
              <w:rPr>
                <w:rFonts w:eastAsiaTheme="minorEastAsia"/>
                <w:b/>
                <w:bCs/>
                <w:lang w:val="fr-CH"/>
              </w:rPr>
              <w:t>Thérapies</w:t>
            </w:r>
            <w:commentRangeEnd w:id="4"/>
            <w:r w:rsidR="008F749D">
              <w:rPr>
                <w:rStyle w:val="CommentReference"/>
                <w:rFonts w:asciiTheme="minorHAnsi" w:eastAsiaTheme="minorEastAsia" w:hAnsiTheme="minorHAnsi" w:cstheme="minorBidi"/>
              </w:rPr>
              <w:commentReference w:id="4"/>
            </w:r>
            <w:r w:rsidRPr="00EE2C2B">
              <w:rPr>
                <w:rFonts w:eastAsiaTheme="minorEastAsia"/>
                <w:b/>
                <w:bCs/>
                <w:lang w:val="fr-CH"/>
              </w:rPr>
              <w:t xml:space="preserve"> antérieures/</w:t>
            </w:r>
            <w:r>
              <w:rPr>
                <w:rFonts w:eastAsiaTheme="minorEastAsia"/>
                <w:b/>
                <w:bCs/>
                <w:lang w:val="fr-CH"/>
              </w:rPr>
              <w:t xml:space="preserve"> historique des traitements</w:t>
            </w:r>
          </w:p>
          <w:bookmarkEnd w:id="3"/>
          <w:p w14:paraId="147085F9" w14:textId="68F8E9B8" w:rsidR="00977AAB" w:rsidRPr="00EE2C2B" w:rsidRDefault="00E43EF1" w:rsidP="00AC3DD1">
            <w:pPr>
              <w:pStyle w:val="xmsonormal"/>
              <w:spacing w:line="260" w:lineRule="atLeast"/>
              <w:rPr>
                <w:lang w:val="fr-CH"/>
              </w:rPr>
            </w:pPr>
            <w:r w:rsidRPr="00EE2C2B">
              <w:rPr>
                <w:rFonts w:eastAsiaTheme="minorEastAsia"/>
                <w:lang w:val="fr-CH"/>
              </w:rPr>
              <w:t xml:space="preserve"> </w:t>
            </w:r>
          </w:p>
        </w:tc>
        <w:tc>
          <w:tcPr>
            <w:tcW w:w="6986" w:type="dxa"/>
            <w:gridSpan w:val="2"/>
          </w:tcPr>
          <w:p w14:paraId="26FCB080" w14:textId="71CCDD15" w:rsidR="00F04A24" w:rsidRPr="009F2D6A" w:rsidRDefault="00F04A24" w:rsidP="009A2A30">
            <w:pPr>
              <w:pStyle w:val="xmsonormal"/>
              <w:spacing w:line="260" w:lineRule="atLeast"/>
              <w:rPr>
                <w:rFonts w:eastAsiaTheme="minorEastAsia"/>
                <w:color w:val="4472C4"/>
              </w:rPr>
            </w:pPr>
          </w:p>
          <w:sdt>
            <w:sdtPr>
              <w:rPr>
                <w:rFonts w:eastAsiaTheme="minorEastAsia"/>
                <w:color w:val="4472C4"/>
              </w:rPr>
              <w:id w:val="-1521151404"/>
              <w:placeholder>
                <w:docPart w:val="DefaultPlaceholder_-1854013440"/>
              </w:placeholder>
              <w:showingPlcHdr/>
              <w:text/>
            </w:sdtPr>
            <w:sdtContent>
              <w:p w14:paraId="172886C4" w14:textId="3A133B39" w:rsidR="00BF4C7C" w:rsidRPr="00ED455D" w:rsidRDefault="00ED455D" w:rsidP="00BF4C7C">
                <w:pPr>
                  <w:pStyle w:val="xmsonormal"/>
                  <w:spacing w:line="260" w:lineRule="atLeast"/>
                  <w:rPr>
                    <w:rFonts w:eastAsiaTheme="minorEastAsia"/>
                    <w:color w:val="4472C4"/>
                  </w:rPr>
                </w:pPr>
                <w:r w:rsidRPr="00ED455D">
                  <w:rPr>
                    <w:rStyle w:val="PlaceholderText"/>
                    <w:shd w:val="clear" w:color="auto" w:fill="AEAAAA" w:themeFill="background2" w:themeFillShade="BF"/>
                  </w:rPr>
                  <w:t>Klicken oder tippen Sie hier, um Text einzugeben.</w:t>
                </w:r>
              </w:p>
            </w:sdtContent>
          </w:sdt>
          <w:p w14:paraId="441A7231" w14:textId="2E9BFEC1" w:rsidR="00553447" w:rsidRPr="00ED455D" w:rsidRDefault="00553447" w:rsidP="003F6940">
            <w:pPr>
              <w:pStyle w:val="xmsonormal"/>
              <w:spacing w:line="260" w:lineRule="atLeast"/>
              <w:rPr>
                <w:rFonts w:eastAsiaTheme="minorEastAsia"/>
                <w:color w:val="4472C4"/>
              </w:rPr>
            </w:pPr>
          </w:p>
        </w:tc>
      </w:tr>
      <w:tr w:rsidR="002411DC" w:rsidRPr="00ED455D" w14:paraId="6935B490" w14:textId="77777777" w:rsidTr="009F2D6A">
        <w:trPr>
          <w:trHeight w:val="1887"/>
        </w:trPr>
        <w:tc>
          <w:tcPr>
            <w:tcW w:w="2074" w:type="dxa"/>
          </w:tcPr>
          <w:p w14:paraId="58125BD6" w14:textId="4387E5D2" w:rsidR="00AA70A8" w:rsidRPr="00EE2C2B" w:rsidRDefault="00EE2C2B" w:rsidP="00AC3DD1">
            <w:pPr>
              <w:pStyle w:val="xmsonormal"/>
              <w:spacing w:line="260" w:lineRule="atLeast"/>
              <w:rPr>
                <w:b/>
                <w:lang w:val="fr-CH"/>
              </w:rPr>
            </w:pPr>
            <w:commentRangeStart w:id="5"/>
            <w:r w:rsidRPr="00EE2C2B">
              <w:rPr>
                <w:rFonts w:eastAsiaTheme="minorEastAsia"/>
                <w:b/>
                <w:lang w:val="fr-CH"/>
              </w:rPr>
              <w:t>Grand</w:t>
            </w:r>
            <w:commentRangeEnd w:id="5"/>
            <w:r w:rsidR="008F749D">
              <w:rPr>
                <w:rStyle w:val="CommentReference"/>
                <w:rFonts w:asciiTheme="minorHAnsi" w:eastAsiaTheme="minorEastAsia" w:hAnsiTheme="minorHAnsi" w:cstheme="minorBidi"/>
              </w:rPr>
              <w:commentReference w:id="5"/>
            </w:r>
            <w:r w:rsidRPr="00EE2C2B">
              <w:rPr>
                <w:rFonts w:eastAsiaTheme="minorEastAsia"/>
                <w:b/>
                <w:lang w:val="fr-CH"/>
              </w:rPr>
              <w:t xml:space="preserve"> bénéfice thérapeutique de la nouvelle thérapie</w:t>
            </w:r>
          </w:p>
        </w:tc>
        <w:tc>
          <w:tcPr>
            <w:tcW w:w="6986" w:type="dxa"/>
            <w:gridSpan w:val="2"/>
          </w:tcPr>
          <w:p w14:paraId="383E3E00" w14:textId="73FEBE90" w:rsidR="00E72DA9" w:rsidRPr="00EE2C2B" w:rsidRDefault="00EE2C2B" w:rsidP="00AA70A8">
            <w:pPr>
              <w:pStyle w:val="xmsonormal"/>
              <w:spacing w:line="260" w:lineRule="atLeast"/>
              <w:rPr>
                <w:rFonts w:eastAsiaTheme="minorEastAsia"/>
                <w:lang w:val="fr-CH"/>
              </w:rPr>
            </w:pPr>
            <w:bookmarkStart w:id="6" w:name="OLE_LINK14"/>
            <w:r w:rsidRPr="00EE2C2B">
              <w:rPr>
                <w:rFonts w:eastAsiaTheme="minorEastAsia"/>
                <w:lang w:val="fr-CH"/>
              </w:rPr>
              <w:t xml:space="preserve">Un grand bénéfice thérapeutique a déjà été obtenu en peu de temps grâce au traitement par </w:t>
            </w:r>
            <w:proofErr w:type="spellStart"/>
            <w:r w:rsidRPr="00EE2C2B">
              <w:rPr>
                <w:rFonts w:eastAsiaTheme="minorEastAsia"/>
                <w:lang w:val="fr-CH"/>
              </w:rPr>
              <w:t>Tavneos</w:t>
            </w:r>
            <w:proofErr w:type="spellEnd"/>
            <w:r w:rsidRPr="00EE2C2B">
              <w:rPr>
                <w:rFonts w:eastAsiaTheme="minorEastAsia"/>
                <w:lang w:val="fr-CH"/>
              </w:rPr>
              <w:t xml:space="preserve"> et on peut s'attendre à une amélioration supplémentaire si le traitement se poursuit.  </w:t>
            </w:r>
          </w:p>
          <w:bookmarkEnd w:id="6"/>
          <w:p w14:paraId="2BA4718C" w14:textId="77777777" w:rsidR="00AA70A8" w:rsidRPr="00EE2C2B" w:rsidRDefault="00AA70A8" w:rsidP="00974432">
            <w:pPr>
              <w:pStyle w:val="xmsonormal"/>
              <w:spacing w:line="260" w:lineRule="atLeast"/>
              <w:rPr>
                <w:rFonts w:eastAsiaTheme="minorEastAsia"/>
                <w:b/>
                <w:bCs/>
                <w:color w:val="4472C4"/>
                <w:lang w:val="fr-CH"/>
              </w:rPr>
            </w:pPr>
          </w:p>
          <w:sdt>
            <w:sdtPr>
              <w:rPr>
                <w:rFonts w:eastAsiaTheme="minorEastAsia"/>
                <w:color w:val="4472C4"/>
                <w:lang w:val="fr-CH"/>
              </w:rPr>
              <w:id w:val="-248658770"/>
              <w:placeholder>
                <w:docPart w:val="DefaultPlaceholder_-1854013440"/>
              </w:placeholder>
              <w:showingPlcHdr/>
              <w:text/>
            </w:sdtPr>
            <w:sdtContent>
              <w:p w14:paraId="69FEFAAF" w14:textId="563AA010" w:rsidR="00502972" w:rsidRPr="00ED455D" w:rsidRDefault="00ED455D" w:rsidP="00974432">
                <w:pPr>
                  <w:pStyle w:val="xmsonormal"/>
                  <w:spacing w:line="260" w:lineRule="atLeast"/>
                  <w:rPr>
                    <w:rFonts w:eastAsiaTheme="minorEastAsia"/>
                    <w:color w:val="4472C4"/>
                  </w:rPr>
                </w:pPr>
                <w:r w:rsidRPr="00ED455D">
                  <w:rPr>
                    <w:rStyle w:val="PlaceholderText"/>
                    <w:shd w:val="clear" w:color="auto" w:fill="AEAAAA" w:themeFill="background2" w:themeFillShade="BF"/>
                  </w:rPr>
                  <w:t>Klicken oder tippen Sie hier, um Text einzugeben.</w:t>
                </w:r>
              </w:p>
            </w:sdtContent>
          </w:sdt>
          <w:p w14:paraId="788570D2" w14:textId="77777777" w:rsidR="00502972" w:rsidRDefault="00502972" w:rsidP="00974432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</w:rPr>
            </w:pPr>
          </w:p>
          <w:p w14:paraId="3CC9C4FE" w14:textId="4652FB74" w:rsidR="00ED455D" w:rsidRPr="00ED455D" w:rsidRDefault="00ED455D" w:rsidP="00974432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</w:rPr>
            </w:pPr>
          </w:p>
        </w:tc>
      </w:tr>
      <w:tr w:rsidR="002411DC" w:rsidRPr="00ED455D" w14:paraId="2ACABFA5" w14:textId="77777777" w:rsidTr="009F2D6A">
        <w:trPr>
          <w:trHeight w:val="74"/>
        </w:trPr>
        <w:tc>
          <w:tcPr>
            <w:tcW w:w="2074" w:type="dxa"/>
          </w:tcPr>
          <w:p w14:paraId="570344D8" w14:textId="1D434A59" w:rsidR="00FE463F" w:rsidRPr="00EE2C2B" w:rsidRDefault="00EE2C2B" w:rsidP="00AC3DD1">
            <w:pPr>
              <w:pStyle w:val="xmsonormal"/>
              <w:spacing w:line="260" w:lineRule="atLeast"/>
              <w:rPr>
                <w:rFonts w:eastAsiaTheme="minorEastAsia"/>
                <w:b/>
                <w:lang w:val="fr-CH"/>
              </w:rPr>
            </w:pPr>
            <w:commentRangeStart w:id="7"/>
            <w:r w:rsidRPr="00EE2C2B">
              <w:rPr>
                <w:rFonts w:eastAsiaTheme="minorEastAsia"/>
                <w:b/>
                <w:lang w:val="fr-CH"/>
              </w:rPr>
              <w:t xml:space="preserve">Les alternatives </w:t>
            </w:r>
            <w:commentRangeEnd w:id="7"/>
            <w:r w:rsidR="008F749D">
              <w:rPr>
                <w:rStyle w:val="CommentReference"/>
                <w:rFonts w:asciiTheme="minorHAnsi" w:eastAsiaTheme="minorEastAsia" w:hAnsiTheme="minorHAnsi" w:cstheme="minorBidi"/>
              </w:rPr>
              <w:commentReference w:id="7"/>
            </w:r>
            <w:r w:rsidRPr="00EE2C2B">
              <w:rPr>
                <w:rFonts w:eastAsiaTheme="minorEastAsia"/>
                <w:b/>
                <w:lang w:val="fr-CH"/>
              </w:rPr>
              <w:t>thérapeutiques disponibles ne sont pas raisonnables</w:t>
            </w:r>
          </w:p>
        </w:tc>
        <w:tc>
          <w:tcPr>
            <w:tcW w:w="6986" w:type="dxa"/>
            <w:gridSpan w:val="2"/>
          </w:tcPr>
          <w:p w14:paraId="16B21FB5" w14:textId="77777777" w:rsidR="00EE2C2B" w:rsidRPr="00EE2C2B" w:rsidRDefault="00EE2C2B" w:rsidP="00EE2C2B">
            <w:pPr>
              <w:pStyle w:val="xmsonormal"/>
              <w:spacing w:line="260" w:lineRule="atLeast"/>
              <w:rPr>
                <w:rFonts w:eastAsiaTheme="minorEastAsia"/>
                <w:lang w:val="fr-CH"/>
              </w:rPr>
            </w:pPr>
            <w:r w:rsidRPr="00EE2C2B">
              <w:rPr>
                <w:rFonts w:eastAsiaTheme="minorEastAsia"/>
                <w:lang w:val="fr-CH"/>
              </w:rPr>
              <w:t xml:space="preserve">Les alternatives thérapeutiques existantes et actuellement inscrites sur la liste des spécialités sont significativement inférieures au traitement par </w:t>
            </w:r>
            <w:proofErr w:type="spellStart"/>
            <w:r w:rsidRPr="00EE2C2B">
              <w:rPr>
                <w:rFonts w:eastAsiaTheme="minorEastAsia"/>
                <w:lang w:val="fr-CH"/>
              </w:rPr>
              <w:t>Tavneos</w:t>
            </w:r>
            <w:proofErr w:type="spellEnd"/>
            <w:r w:rsidRPr="00EE2C2B">
              <w:rPr>
                <w:rFonts w:eastAsiaTheme="minorEastAsia"/>
                <w:lang w:val="fr-CH"/>
              </w:rPr>
              <w:t xml:space="preserve">. </w:t>
            </w:r>
          </w:p>
          <w:p w14:paraId="3FFFA20C" w14:textId="77777777" w:rsidR="00F51C20" w:rsidRDefault="00EE2C2B" w:rsidP="00F51C20">
            <w:pPr>
              <w:pStyle w:val="xmsonormal"/>
              <w:spacing w:line="260" w:lineRule="atLeast"/>
              <w:rPr>
                <w:rFonts w:eastAsiaTheme="minorEastAsia"/>
                <w:lang w:val="en-US"/>
              </w:rPr>
            </w:pPr>
            <w:r w:rsidRPr="1DC21D29">
              <w:rPr>
                <w:rFonts w:eastAsiaTheme="minorEastAsia"/>
                <w:lang w:val="fr-CH"/>
              </w:rPr>
              <w:t xml:space="preserve">Le traitement par </w:t>
            </w:r>
            <w:proofErr w:type="spellStart"/>
            <w:r w:rsidRPr="1DC21D29">
              <w:rPr>
                <w:rFonts w:eastAsiaTheme="minorEastAsia"/>
                <w:lang w:val="fr-CH"/>
              </w:rPr>
              <w:t>Tavneos</w:t>
            </w:r>
            <w:proofErr w:type="spellEnd"/>
            <w:r w:rsidRPr="1DC21D29">
              <w:rPr>
                <w:rFonts w:eastAsiaTheme="minorEastAsia"/>
                <w:lang w:val="fr-CH"/>
              </w:rPr>
              <w:t xml:space="preserve"> / </w:t>
            </w:r>
            <w:proofErr w:type="spellStart"/>
            <w:r w:rsidRPr="1DC21D29">
              <w:rPr>
                <w:rFonts w:eastAsiaTheme="minorEastAsia"/>
                <w:lang w:val="fr-CH"/>
              </w:rPr>
              <w:t>Avacopan</w:t>
            </w:r>
            <w:proofErr w:type="spellEnd"/>
            <w:r w:rsidRPr="1DC21D29">
              <w:rPr>
                <w:rFonts w:eastAsiaTheme="minorEastAsia"/>
                <w:lang w:val="fr-CH"/>
              </w:rPr>
              <w:t xml:space="preserve"> est conforme aux nouvelles directives européennes (</w:t>
            </w:r>
            <w:bookmarkStart w:id="8" w:name="OLE_LINK4"/>
            <w:proofErr w:type="spellStart"/>
            <w:r w:rsidR="00F51C20" w:rsidRPr="00F51C20">
              <w:rPr>
                <w:rFonts w:eastAsiaTheme="minorEastAsia"/>
                <w:lang w:val="fr-CH"/>
              </w:rPr>
              <w:t>Hellmich</w:t>
            </w:r>
            <w:proofErr w:type="spellEnd"/>
            <w:r w:rsidR="00F51C20" w:rsidRPr="00F51C20">
              <w:rPr>
                <w:rFonts w:eastAsiaTheme="minorEastAsia"/>
                <w:lang w:val="fr-CH"/>
              </w:rPr>
              <w:t xml:space="preserve"> B, et al. </w:t>
            </w:r>
            <w:r w:rsidR="00F51C20">
              <w:rPr>
                <w:rFonts w:eastAsiaTheme="minorEastAsia"/>
                <w:lang w:val="en-US"/>
              </w:rPr>
              <w:t>EULAR recommendations for the management of</w:t>
            </w:r>
          </w:p>
          <w:p w14:paraId="22312030" w14:textId="4CF87BDA" w:rsidR="00321EF6" w:rsidRPr="00EE2C2B" w:rsidRDefault="00F51C20" w:rsidP="00F51C20">
            <w:pPr>
              <w:pStyle w:val="xmsonormal"/>
              <w:spacing w:line="260" w:lineRule="atLeast"/>
              <w:rPr>
                <w:rFonts w:eastAsiaTheme="minorEastAsia"/>
                <w:color w:val="4472C4"/>
                <w:lang w:val="fr-CH"/>
              </w:rPr>
            </w:pPr>
            <w:r>
              <w:rPr>
                <w:lang w:val="en-US"/>
              </w:rPr>
              <w:t xml:space="preserve">ANCA-associated vasculitis: 2022 update. Ann Rheum Dis </w:t>
            </w:r>
            <w:proofErr w:type="gramStart"/>
            <w:r>
              <w:rPr>
                <w:lang w:val="en-US"/>
              </w:rPr>
              <w:t>2023;0:1</w:t>
            </w:r>
            <w:proofErr w:type="gramEnd"/>
            <w:r>
              <w:rPr>
                <w:lang w:val="en-US"/>
              </w:rPr>
              <w:t>–18. doi:10.1136/ard-2022-223764</w:t>
            </w:r>
            <w:bookmarkEnd w:id="8"/>
            <w:r w:rsidR="00EE2C2B" w:rsidRPr="1DC21D29">
              <w:rPr>
                <w:rFonts w:eastAsiaTheme="minorEastAsia"/>
                <w:lang w:val="fr-CH"/>
              </w:rPr>
              <w:t xml:space="preserve">). </w:t>
            </w:r>
          </w:p>
          <w:p w14:paraId="32957622" w14:textId="77777777" w:rsidR="00974432" w:rsidRDefault="00974432" w:rsidP="00974432">
            <w:pPr>
              <w:pStyle w:val="xmsonormal"/>
              <w:spacing w:line="260" w:lineRule="atLeast"/>
              <w:rPr>
                <w:rFonts w:eastAsiaTheme="minorEastAsia"/>
                <w:color w:val="4472C4"/>
                <w:lang w:val="fr-CH"/>
              </w:rPr>
            </w:pPr>
            <w:bookmarkStart w:id="9" w:name="OLE_LINK24"/>
          </w:p>
          <w:bookmarkEnd w:id="9" w:displacedByCustomXml="next"/>
          <w:sdt>
            <w:sdtPr>
              <w:rPr>
                <w:rFonts w:eastAsiaTheme="minorEastAsia"/>
                <w:color w:val="4472C4"/>
                <w:sz w:val="22"/>
                <w:szCs w:val="22"/>
                <w:lang w:val="fr-CH"/>
              </w:rPr>
              <w:id w:val="-749502692"/>
              <w:placeholder>
                <w:docPart w:val="DefaultPlaceholder_-1854013440"/>
              </w:placeholder>
              <w:showingPlcHdr/>
              <w:text/>
            </w:sdtPr>
            <w:sdtContent>
              <w:p w14:paraId="33750197" w14:textId="4FF63592" w:rsidR="00AC2B82" w:rsidRPr="00ED455D" w:rsidRDefault="00ED455D" w:rsidP="006B3DB5">
                <w:pPr>
                  <w:pStyle w:val="xmsonormal"/>
                  <w:spacing w:line="260" w:lineRule="atLeast"/>
                  <w:rPr>
                    <w:rFonts w:eastAsiaTheme="minorEastAsia"/>
                    <w:color w:val="4472C4"/>
                    <w:sz w:val="22"/>
                    <w:szCs w:val="22"/>
                  </w:rPr>
                </w:pPr>
                <w:r w:rsidRPr="00ED455D">
                  <w:rPr>
                    <w:rStyle w:val="PlaceholderText"/>
                    <w:shd w:val="clear" w:color="auto" w:fill="AEAAAA" w:themeFill="background2" w:themeFillShade="BF"/>
                  </w:rPr>
                  <w:t>Klicken oder tippen Sie hier, um Text einzugeben.</w:t>
                </w:r>
              </w:p>
            </w:sdtContent>
          </w:sdt>
        </w:tc>
      </w:tr>
      <w:tr w:rsidR="002411DC" w:rsidRPr="003912C9" w14:paraId="3198131D" w14:textId="77777777" w:rsidTr="009F2D6A">
        <w:trPr>
          <w:trHeight w:val="2398"/>
        </w:trPr>
        <w:tc>
          <w:tcPr>
            <w:tcW w:w="2074" w:type="dxa"/>
          </w:tcPr>
          <w:p w14:paraId="38F8F850" w14:textId="0BE0B15E" w:rsidR="00E577F7" w:rsidRPr="00F70228" w:rsidRDefault="00EE2C2B" w:rsidP="00AC3DD1">
            <w:pPr>
              <w:pStyle w:val="xmsonormal"/>
              <w:spacing w:line="260" w:lineRule="atLeast"/>
              <w:rPr>
                <w:rFonts w:eastAsiaTheme="minorEastAsia"/>
                <w:b/>
              </w:rPr>
            </w:pPr>
            <w:proofErr w:type="spellStart"/>
            <w:r w:rsidRPr="00EE2C2B">
              <w:rPr>
                <w:rFonts w:eastAsiaTheme="minorEastAsia"/>
                <w:b/>
              </w:rPr>
              <w:lastRenderedPageBreak/>
              <w:t>Demande</w:t>
            </w:r>
            <w:proofErr w:type="spellEnd"/>
            <w:r w:rsidRPr="00EE2C2B">
              <w:rPr>
                <w:rFonts w:eastAsiaTheme="minorEastAsia"/>
                <w:b/>
              </w:rPr>
              <w:t xml:space="preserve"> de </w:t>
            </w:r>
            <w:proofErr w:type="spellStart"/>
            <w:r w:rsidRPr="00EE2C2B">
              <w:rPr>
                <w:rFonts w:eastAsiaTheme="minorEastAsia"/>
                <w:b/>
              </w:rPr>
              <w:t>remboursement</w:t>
            </w:r>
            <w:proofErr w:type="spellEnd"/>
          </w:p>
        </w:tc>
        <w:tc>
          <w:tcPr>
            <w:tcW w:w="6986" w:type="dxa"/>
            <w:gridSpan w:val="2"/>
          </w:tcPr>
          <w:p w14:paraId="1EBB7B70" w14:textId="77777777" w:rsidR="009A2A30" w:rsidRPr="009A2A30" w:rsidRDefault="009A2A30" w:rsidP="009A2A30">
            <w:pPr>
              <w:pStyle w:val="xmsonormal"/>
              <w:spacing w:line="260" w:lineRule="atLeast"/>
              <w:rPr>
                <w:lang w:val="fr-CH"/>
              </w:rPr>
            </w:pPr>
            <w:r w:rsidRPr="009A2A30">
              <w:rPr>
                <w:lang w:val="fr-CH"/>
              </w:rPr>
              <w:t xml:space="preserve">Les conditions de remboursement </w:t>
            </w:r>
          </w:p>
          <w:p w14:paraId="197B386E" w14:textId="77777777" w:rsidR="009A2A30" w:rsidRPr="009A2A30" w:rsidRDefault="009A2A30" w:rsidP="009A2A30">
            <w:pPr>
              <w:pStyle w:val="xmsonormal"/>
              <w:spacing w:line="260" w:lineRule="atLeast"/>
              <w:rPr>
                <w:lang w:val="fr-CH"/>
              </w:rPr>
            </w:pPr>
            <w:r w:rsidRPr="009A2A30">
              <w:rPr>
                <w:lang w:val="fr-CH"/>
              </w:rPr>
              <w:t xml:space="preserve">(1) Atteinte grave et chronique à la santé avec une évolution potentiellement fatale, </w:t>
            </w:r>
          </w:p>
          <w:p w14:paraId="2730850A" w14:textId="77777777" w:rsidR="009A2A30" w:rsidRPr="009A2A30" w:rsidRDefault="009A2A30" w:rsidP="009A2A30">
            <w:pPr>
              <w:pStyle w:val="xmsonormal"/>
              <w:spacing w:line="260" w:lineRule="atLeast"/>
              <w:rPr>
                <w:lang w:val="fr-CH"/>
              </w:rPr>
            </w:pPr>
            <w:r w:rsidRPr="009A2A30">
              <w:rPr>
                <w:lang w:val="fr-CH"/>
              </w:rPr>
              <w:t>(2) grand bénéfice thérapeutique et</w:t>
            </w:r>
          </w:p>
          <w:p w14:paraId="0B6CA980" w14:textId="3934EDCB" w:rsidR="009A2A30" w:rsidRPr="009A2A30" w:rsidRDefault="009A2A30" w:rsidP="009A2A30">
            <w:pPr>
              <w:pStyle w:val="xmsonormal"/>
              <w:spacing w:line="260" w:lineRule="atLeast"/>
              <w:rPr>
                <w:lang w:val="fr-CH"/>
              </w:rPr>
            </w:pPr>
            <w:r w:rsidRPr="009A2A30">
              <w:rPr>
                <w:lang w:val="fr-CH"/>
              </w:rPr>
              <w:t>(3) aucune alternative thérapeutique raisonnable n'est disponible, sont en résumé remplies.</w:t>
            </w:r>
          </w:p>
          <w:p w14:paraId="62AF574F" w14:textId="77777777" w:rsidR="009A2A30" w:rsidRPr="009A2A30" w:rsidRDefault="009A2A30" w:rsidP="009A2A30">
            <w:pPr>
              <w:pStyle w:val="xmsonormal"/>
              <w:spacing w:line="260" w:lineRule="atLeast"/>
              <w:rPr>
                <w:lang w:val="fr-CH"/>
              </w:rPr>
            </w:pPr>
          </w:p>
          <w:p w14:paraId="7BB55A4C" w14:textId="77777777" w:rsidR="009A2A30" w:rsidRPr="009A2A30" w:rsidRDefault="009A2A30" w:rsidP="009A2A30">
            <w:pPr>
              <w:pStyle w:val="xmsonormal"/>
              <w:spacing w:line="260" w:lineRule="atLeast"/>
              <w:rPr>
                <w:lang w:val="fr-CH"/>
              </w:rPr>
            </w:pPr>
            <w:r w:rsidRPr="009A2A30">
              <w:rPr>
                <w:lang w:val="fr-CH"/>
              </w:rPr>
              <w:t xml:space="preserve">J'attire donc votre attention sur le fait que vous êtes tenu, dans certaines conditions, de rembourser les coûts du traitement par </w:t>
            </w:r>
            <w:proofErr w:type="spellStart"/>
            <w:r w:rsidRPr="009A2A30">
              <w:rPr>
                <w:lang w:val="fr-CH"/>
              </w:rPr>
              <w:t>Tavneos</w:t>
            </w:r>
            <w:proofErr w:type="spellEnd"/>
            <w:r w:rsidRPr="009A2A30">
              <w:rPr>
                <w:lang w:val="fr-CH"/>
              </w:rPr>
              <w:t xml:space="preserve"> (</w:t>
            </w:r>
            <w:proofErr w:type="spellStart"/>
            <w:r w:rsidRPr="009A2A30">
              <w:rPr>
                <w:lang w:val="fr-CH"/>
              </w:rPr>
              <w:t>Avacopan</w:t>
            </w:r>
            <w:proofErr w:type="spellEnd"/>
            <w:r w:rsidRPr="009A2A30">
              <w:rPr>
                <w:lang w:val="fr-CH"/>
              </w:rPr>
              <w:t>) au titre de l'assurance de base, conformément aux articles 71a à 71d de l'</w:t>
            </w:r>
            <w:proofErr w:type="spellStart"/>
            <w:r w:rsidRPr="009A2A30">
              <w:rPr>
                <w:lang w:val="fr-CH"/>
              </w:rPr>
              <w:t>OAMal</w:t>
            </w:r>
            <w:proofErr w:type="spellEnd"/>
            <w:r w:rsidRPr="009A2A30">
              <w:rPr>
                <w:lang w:val="fr-CH"/>
              </w:rPr>
              <w:t xml:space="preserve">. </w:t>
            </w:r>
          </w:p>
          <w:p w14:paraId="77560553" w14:textId="77777777" w:rsidR="009A2A30" w:rsidRPr="009A2A30" w:rsidRDefault="009A2A30" w:rsidP="009A2A30">
            <w:pPr>
              <w:pStyle w:val="xmsonormal"/>
              <w:spacing w:line="260" w:lineRule="atLeast"/>
              <w:rPr>
                <w:lang w:val="fr-CH"/>
              </w:rPr>
            </w:pPr>
          </w:p>
          <w:p w14:paraId="3A173AC3" w14:textId="0B82B560" w:rsidR="009A2A30" w:rsidRPr="009A2A30" w:rsidRDefault="009A2A30" w:rsidP="00F51C20">
            <w:pPr>
              <w:pStyle w:val="xmsonormal"/>
              <w:spacing w:line="260" w:lineRule="atLeast"/>
              <w:rPr>
                <w:lang w:val="fr-CH"/>
              </w:rPr>
            </w:pPr>
            <w:r w:rsidRPr="6FAB970B">
              <w:rPr>
                <w:lang w:val="fr-CH"/>
              </w:rPr>
              <w:t xml:space="preserve">Je vous prie donc de bien vouloir prendre en considération ma demande de remboursement pour la poursuite du traitement visant à contrôler l'activité de la maladie et à économiser les glucocorticoïdes pour </w:t>
            </w:r>
            <w:r w:rsidRPr="6FAB970B">
              <w:rPr>
                <w:highlight w:val="yellow"/>
                <w:lang w:val="fr-CH"/>
              </w:rPr>
              <w:t>NOM-PATIENT</w:t>
            </w:r>
            <w:r w:rsidRPr="6FAB970B">
              <w:rPr>
                <w:lang w:val="fr-CH"/>
              </w:rPr>
              <w:t xml:space="preserve"> avec </w:t>
            </w:r>
            <w:proofErr w:type="spellStart"/>
            <w:r w:rsidRPr="6FAB970B">
              <w:rPr>
                <w:lang w:val="fr-CH"/>
              </w:rPr>
              <w:t>Tavneos</w:t>
            </w:r>
            <w:proofErr w:type="spellEnd"/>
            <w:r w:rsidRPr="6FAB970B">
              <w:rPr>
                <w:lang w:val="fr-CH"/>
              </w:rPr>
              <w:t xml:space="preserve"> (</w:t>
            </w:r>
            <w:proofErr w:type="spellStart"/>
            <w:r w:rsidRPr="6FAB970B">
              <w:rPr>
                <w:lang w:val="fr-CH"/>
              </w:rPr>
              <w:t>Avacopan</w:t>
            </w:r>
            <w:proofErr w:type="spellEnd"/>
            <w:r w:rsidRPr="6FAB970B">
              <w:rPr>
                <w:lang w:val="fr-CH"/>
              </w:rPr>
              <w:t xml:space="preserve">) en association avec </w:t>
            </w:r>
            <w:r w:rsidRPr="6FAB970B">
              <w:rPr>
                <w:highlight w:val="yellow"/>
                <w:lang w:val="fr-CH"/>
              </w:rPr>
              <w:t>rituximab</w:t>
            </w:r>
            <w:r w:rsidR="4B35E662" w:rsidRPr="6FAB970B">
              <w:rPr>
                <w:highlight w:val="yellow"/>
                <w:lang w:val="fr-CH"/>
              </w:rPr>
              <w:t xml:space="preserve"> ou cyclophosphamide</w:t>
            </w:r>
            <w:r w:rsidRPr="6FAB970B">
              <w:rPr>
                <w:highlight w:val="yellow"/>
                <w:lang w:val="fr-CH"/>
              </w:rPr>
              <w:t>,</w:t>
            </w:r>
            <w:r w:rsidRPr="6FAB970B">
              <w:rPr>
                <w:lang w:val="fr-CH"/>
              </w:rPr>
              <w:t xml:space="preserve"> qui correspond au label d'autorisation de </w:t>
            </w:r>
            <w:proofErr w:type="spellStart"/>
            <w:r w:rsidRPr="6FAB970B">
              <w:rPr>
                <w:lang w:val="fr-CH"/>
              </w:rPr>
              <w:t>Swissmedic</w:t>
            </w:r>
            <w:proofErr w:type="spellEnd"/>
            <w:r w:rsidRPr="6FAB970B">
              <w:rPr>
                <w:lang w:val="fr-CH"/>
              </w:rPr>
              <w:t xml:space="preserve"> et au schéma thérapeutique des nouvelles directives européennes (</w:t>
            </w:r>
            <w:proofErr w:type="spellStart"/>
            <w:r w:rsidR="00F51C20" w:rsidRPr="00F51C20">
              <w:rPr>
                <w:rFonts w:eastAsiaTheme="minorEastAsia"/>
                <w:lang w:val="fr-CH"/>
              </w:rPr>
              <w:t>Hellmich</w:t>
            </w:r>
            <w:proofErr w:type="spellEnd"/>
            <w:r w:rsidR="00F51C20" w:rsidRPr="00F51C20">
              <w:rPr>
                <w:rFonts w:eastAsiaTheme="minorEastAsia"/>
                <w:lang w:val="fr-CH"/>
              </w:rPr>
              <w:t xml:space="preserve"> B, et al. </w:t>
            </w:r>
            <w:r w:rsidR="00F51C20">
              <w:rPr>
                <w:rFonts w:eastAsiaTheme="minorEastAsia"/>
                <w:lang w:val="en-US"/>
              </w:rPr>
              <w:t>EULAR recommendations for the management of</w:t>
            </w:r>
            <w:r w:rsidR="00F51C20">
              <w:rPr>
                <w:rFonts w:eastAsiaTheme="minorEastAsia"/>
                <w:lang w:val="en-US"/>
              </w:rPr>
              <w:t xml:space="preserve"> </w:t>
            </w:r>
            <w:r w:rsidR="00F51C20">
              <w:rPr>
                <w:lang w:val="en-US"/>
              </w:rPr>
              <w:t xml:space="preserve">ANCA-associated vasculitis: 2022 update. </w:t>
            </w:r>
            <w:r w:rsidR="00F51C20" w:rsidRPr="00F51C20">
              <w:rPr>
                <w:lang w:val="fr-CH"/>
              </w:rPr>
              <w:t xml:space="preserve">Ann </w:t>
            </w:r>
            <w:proofErr w:type="spellStart"/>
            <w:r w:rsidR="00F51C20" w:rsidRPr="00F51C20">
              <w:rPr>
                <w:lang w:val="fr-CH"/>
              </w:rPr>
              <w:t>Rheum</w:t>
            </w:r>
            <w:proofErr w:type="spellEnd"/>
            <w:r w:rsidR="00F51C20" w:rsidRPr="00F51C20">
              <w:rPr>
                <w:lang w:val="fr-CH"/>
              </w:rPr>
              <w:t xml:space="preserve"> Dis </w:t>
            </w:r>
            <w:proofErr w:type="gramStart"/>
            <w:r w:rsidR="00F51C20" w:rsidRPr="00F51C20">
              <w:rPr>
                <w:lang w:val="fr-CH"/>
              </w:rPr>
              <w:t>2023;</w:t>
            </w:r>
            <w:proofErr w:type="gramEnd"/>
            <w:r w:rsidR="00F51C20" w:rsidRPr="00F51C20">
              <w:rPr>
                <w:lang w:val="fr-CH"/>
              </w:rPr>
              <w:t xml:space="preserve">0:1–18. </w:t>
            </w:r>
            <w:proofErr w:type="gramStart"/>
            <w:r w:rsidR="00F51C20" w:rsidRPr="00F51C20">
              <w:rPr>
                <w:lang w:val="fr-CH"/>
              </w:rPr>
              <w:t>doi:</w:t>
            </w:r>
            <w:proofErr w:type="gramEnd"/>
            <w:r w:rsidR="00F51C20" w:rsidRPr="00F51C20">
              <w:rPr>
                <w:lang w:val="fr-CH"/>
              </w:rPr>
              <w:t>10.1136/ard-2022-223764</w:t>
            </w:r>
            <w:r w:rsidRPr="6FAB970B">
              <w:rPr>
                <w:lang w:val="fr-CH"/>
              </w:rPr>
              <w:t xml:space="preserve">) et d'accorder la garantie de paiement au nom de </w:t>
            </w:r>
            <w:r w:rsidRPr="6FAB970B">
              <w:rPr>
                <w:highlight w:val="yellow"/>
                <w:lang w:val="fr-CH"/>
              </w:rPr>
              <w:t>NOM-PATIENT</w:t>
            </w:r>
            <w:r w:rsidRPr="6FAB970B">
              <w:rPr>
                <w:lang w:val="fr-CH"/>
              </w:rPr>
              <w:t xml:space="preserve">.  </w:t>
            </w:r>
          </w:p>
          <w:p w14:paraId="28361D30" w14:textId="77777777" w:rsidR="009A2A30" w:rsidRPr="009A2A30" w:rsidRDefault="009A2A30" w:rsidP="009A2A30">
            <w:pPr>
              <w:pStyle w:val="xmsonormal"/>
              <w:spacing w:line="260" w:lineRule="atLeast"/>
              <w:rPr>
                <w:lang w:val="fr-CH"/>
              </w:rPr>
            </w:pPr>
          </w:p>
          <w:p w14:paraId="425AD487" w14:textId="3F0A85D1" w:rsidR="00E577F7" w:rsidRPr="009A2A30" w:rsidRDefault="009A2A30" w:rsidP="009A2A30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  <w:lang w:val="fr-CH"/>
              </w:rPr>
            </w:pPr>
            <w:r w:rsidRPr="009A2A30">
              <w:rPr>
                <w:lang w:val="fr-CH"/>
              </w:rPr>
              <w:t xml:space="preserve">Si vous n'êtes pas d'accord, je vous prie poliment de bien vouloir adresser une lettre de refus motivée à l'attention de </w:t>
            </w:r>
            <w:r w:rsidRPr="009A2A30">
              <w:rPr>
                <w:highlight w:val="yellow"/>
                <w:lang w:val="fr-CH"/>
              </w:rPr>
              <w:t>(NOM PATIENT).</w:t>
            </w:r>
          </w:p>
        </w:tc>
      </w:tr>
    </w:tbl>
    <w:p w14:paraId="56F4AE54" w14:textId="64AA46B8" w:rsidR="00AC3DD1" w:rsidRPr="009A2A30" w:rsidRDefault="00AC3DD1" w:rsidP="00AC3DD1">
      <w:pPr>
        <w:pStyle w:val="xmsonormal"/>
        <w:spacing w:line="260" w:lineRule="atLeast"/>
        <w:rPr>
          <w:rFonts w:eastAsiaTheme="minorEastAsia"/>
          <w:sz w:val="22"/>
          <w:szCs w:val="22"/>
          <w:lang w:val="fr-CH"/>
        </w:rPr>
      </w:pPr>
      <w:r w:rsidRPr="009A2A30">
        <w:rPr>
          <w:rFonts w:eastAsiaTheme="minorEastAsia"/>
          <w:sz w:val="22"/>
          <w:szCs w:val="22"/>
          <w:lang w:val="fr-CH"/>
        </w:rPr>
        <w:t> </w:t>
      </w:r>
    </w:p>
    <w:p w14:paraId="7367F787" w14:textId="768FEB74" w:rsidR="00523BDF" w:rsidRPr="009A2A30" w:rsidRDefault="00523BDF" w:rsidP="00AC3DD1">
      <w:pPr>
        <w:pStyle w:val="xmsonormal"/>
        <w:spacing w:line="260" w:lineRule="atLeast"/>
        <w:rPr>
          <w:rFonts w:eastAsiaTheme="minorEastAsia"/>
          <w:sz w:val="22"/>
          <w:szCs w:val="22"/>
          <w:lang w:val="fr-CH"/>
        </w:rPr>
      </w:pPr>
    </w:p>
    <w:p w14:paraId="0A48B343" w14:textId="46A0107A" w:rsidR="00523BDF" w:rsidRPr="006B3DB5" w:rsidRDefault="006B3DB5" w:rsidP="00AC3DD1">
      <w:pPr>
        <w:pStyle w:val="xmsonormal"/>
        <w:spacing w:line="260" w:lineRule="atLeast"/>
        <w:rPr>
          <w:rFonts w:eastAsiaTheme="minorEastAsia"/>
          <w:sz w:val="22"/>
          <w:szCs w:val="22"/>
          <w:lang w:val="fr-CH"/>
        </w:rPr>
      </w:pPr>
      <w:r w:rsidRPr="006B3DB5">
        <w:rPr>
          <w:rFonts w:eastAsiaTheme="minorEastAsia"/>
          <w:sz w:val="22"/>
          <w:szCs w:val="22"/>
          <w:lang w:val="fr-CH"/>
        </w:rPr>
        <w:t>Meilleures salutations</w:t>
      </w:r>
    </w:p>
    <w:p w14:paraId="764929B0" w14:textId="48EEF811" w:rsidR="00523BDF" w:rsidRDefault="00523BDF" w:rsidP="00AC3DD1">
      <w:pPr>
        <w:pStyle w:val="xmsonormal"/>
        <w:spacing w:line="260" w:lineRule="atLeast"/>
        <w:rPr>
          <w:rFonts w:eastAsiaTheme="minorEastAsia"/>
          <w:sz w:val="22"/>
          <w:szCs w:val="22"/>
        </w:rPr>
      </w:pPr>
      <w:r w:rsidRPr="00F6331D">
        <w:rPr>
          <w:rFonts w:eastAsiaTheme="minorEastAsia"/>
          <w:sz w:val="22"/>
          <w:szCs w:val="22"/>
          <w:highlight w:val="yellow"/>
        </w:rPr>
        <w:t>XX</w:t>
      </w:r>
    </w:p>
    <w:p w14:paraId="70A6E5B3" w14:textId="77777777" w:rsidR="00A57E7A" w:rsidRDefault="00A57E7A">
      <w:pPr>
        <w:rPr>
          <w:b/>
          <w:bCs/>
        </w:rPr>
      </w:pPr>
    </w:p>
    <w:p w14:paraId="669581A1" w14:textId="77777777" w:rsidR="00A57E7A" w:rsidRDefault="00A57E7A">
      <w:pPr>
        <w:rPr>
          <w:b/>
          <w:bCs/>
        </w:rPr>
      </w:pPr>
    </w:p>
    <w:p w14:paraId="239071A8" w14:textId="77777777" w:rsidR="00A57E7A" w:rsidRDefault="00A57E7A">
      <w:pPr>
        <w:rPr>
          <w:b/>
          <w:bCs/>
        </w:rPr>
      </w:pPr>
    </w:p>
    <w:p w14:paraId="2FD0F3C7" w14:textId="7E24D60E" w:rsidR="00AC3DD1" w:rsidRDefault="00AC3DD1" w:rsidP="00AC3DD1">
      <w:pPr>
        <w:pStyle w:val="xmsonormal"/>
        <w:spacing w:line="260" w:lineRule="atLeast"/>
        <w:rPr>
          <w:rFonts w:eastAsiaTheme="minorEastAsia"/>
          <w:sz w:val="22"/>
          <w:szCs w:val="22"/>
        </w:rPr>
      </w:pPr>
    </w:p>
    <w:p w14:paraId="45A5B005" w14:textId="77777777" w:rsidR="00AC3DD1" w:rsidRDefault="00AC3DD1" w:rsidP="00AC3DD1">
      <w:pPr>
        <w:pStyle w:val="xmsonormal"/>
        <w:spacing w:line="260" w:lineRule="atLeast"/>
        <w:rPr>
          <w:rFonts w:eastAsiaTheme="minorEastAsia"/>
          <w:sz w:val="22"/>
          <w:szCs w:val="22"/>
        </w:rPr>
      </w:pPr>
    </w:p>
    <w:p w14:paraId="0AE8C045" w14:textId="081C3C4A" w:rsidR="009925BB" w:rsidRPr="009925BB" w:rsidRDefault="00B62822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840DDE" wp14:editId="3AC94F2D">
                <wp:simplePos x="0" y="0"/>
                <wp:positionH relativeFrom="margin">
                  <wp:posOffset>0</wp:posOffset>
                </wp:positionH>
                <wp:positionV relativeFrom="paragraph">
                  <wp:posOffset>3448381</wp:posOffset>
                </wp:positionV>
                <wp:extent cx="1417955" cy="182880"/>
                <wp:effectExtent l="0" t="0" r="0" b="762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49C11" w14:textId="06D76C7C" w:rsidR="00B62822" w:rsidRDefault="00B62822" w:rsidP="00B62822">
                            <w:pPr>
                              <w:rPr>
                                <w:color w:val="A6A6A6" w:themeColor="background1" w:themeShade="A6"/>
                                <w:sz w:val="14"/>
                                <w:szCs w:val="14"/>
                                <w:lang w:val="en-US"/>
                              </w:rPr>
                            </w:pPr>
                            <w:bookmarkStart w:id="10" w:name="OLE_LINK2"/>
                            <w:bookmarkStart w:id="11" w:name="OLE_LINK3"/>
                            <w:bookmarkStart w:id="12" w:name="_Hlk131002890"/>
                            <w:r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F 0</w:t>
                            </w:r>
                            <w:r w:rsidR="0010761E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/2023 CH-AVA-2300014</w:t>
                            </w:r>
                            <w:r w:rsidR="003912C9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v.2</w:t>
                            </w:r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rot="0" vertOverflow="clip" horzOverflow="clip" vert="horz" wrap="square" lIns="0" tIns="4572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40DD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271.55pt;width:111.65pt;height: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O5CQIAAO0DAAAOAAAAZHJzL2Uyb0RvYy54bWysU9tu2zAMfR+wfxD0vviCZE2MOEXXrsOA&#10;bh3Q7QMUWYqFSaImKbGzrx8lJ2nRvQ3zgyCa5CHPIbW+Ho0mB+GDAtvSalZSIiyHTtldS398v3+3&#10;pCREZjumwYqWHkWg15u3b9aDa0QNPehOeIIgNjSDa2kfo2uKIvBeGBZm4IRFpwRvWETT74rOswHR&#10;jS7qsnxfDOA754GLEPDv3eSkm4wvpeDxUcogItEtxd5iPn0+t+ksNmvW7DxzveKnNtg/dGGYslj0&#10;AnXHIiN7r/6CMop7CCDjjIMpQErFReaAbKryFZunnjmRuaA4wV1kCv8Pln89PLlvnsTxA4w4wEwi&#10;uAfgPwOxcNszuxM33sPQC9Zh4SpJVgwuNKfUJHVoQgLZDl+gwyGzfYQMNEpvkirIkyA6DuB4EV2M&#10;kfBUcl5drRYLSjj6qmW9XOapFKw5Zzsf4icBhqRLSz0ONaOzw0OIqRvWnENSMQv3Sus8WG3J0NLV&#10;ol7khBceoyLunVampcsyfdMmJJIfbZeTI1N6umMBbU+sE9GJchy3IwYm9lvojsjfw7Rf+B7iIx5S&#10;A5bnWjlKevC/X/9LcThK9FAy4A62NPzaMy8o0Z8tap0WNl/mi6saDZ+NVTWfo7E9hzDLEaKlkZLp&#10;ehvzgk9a3OAspMoyPXd64oI7ldU77X9a2pd2jnp+pZs/AAAA//8DAFBLAwQUAAYACAAAACEAYN/z&#10;j98AAAAIAQAADwAAAGRycy9kb3ducmV2LnhtbEyPS0/DMBCE70j8B2uRuCDqPHglxKkqpEiceLTl&#10;volNEhGvQ7xtAr8ec4Lj7KxmvinWix3E0Uy+d6QgXkUgDDVO99Qq2O+qyzsQnpE0Do6Mgi/jYV2e&#10;nhSYazfTqzluuRUhhHyOCjrmMZfSN52x6FduNBS8dzdZ5CCnVuoJ5xBuB5lE0Y202FNo6HA0D51p&#10;PrYHq+BRcrV54bh6evvOntP6Auch+1Tq/GzZ3INgs/DfM/ziB3QoA1PtDqS9GBSEIazg+iqNQQQ7&#10;SdIURB0ut3EGsizk/wHlDwAAAP//AwBQSwECLQAUAAYACAAAACEAtoM4kv4AAADhAQAAEwAAAAAA&#10;AAAAAAAAAAAAAAAAW0NvbnRlbnRfVHlwZXNdLnhtbFBLAQItABQABgAIAAAAIQA4/SH/1gAAAJQB&#10;AAALAAAAAAAAAAAAAAAAAC8BAABfcmVscy8ucmVsc1BLAQItABQABgAIAAAAIQC5M7O5CQIAAO0D&#10;AAAOAAAAAAAAAAAAAAAAAC4CAABkcnMvZTJvRG9jLnhtbFBLAQItABQABgAIAAAAIQBg3/OP3wAA&#10;AAgBAAAPAAAAAAAAAAAAAAAAAGMEAABkcnMvZG93bnJldi54bWxQSwUGAAAAAAQABADzAAAAbwUA&#10;AAAA&#10;" filled="f" stroked="f">
                <v:textbox inset="0,,,0">
                  <w:txbxContent>
                    <w:p w14:paraId="65149C11" w14:textId="06D76C7C" w:rsidR="00B62822" w:rsidRDefault="00B62822" w:rsidP="00B62822">
                      <w:pPr>
                        <w:rPr>
                          <w:color w:val="A6A6A6" w:themeColor="background1" w:themeShade="A6"/>
                          <w:sz w:val="14"/>
                          <w:szCs w:val="14"/>
                          <w:lang w:val="en-US"/>
                        </w:rPr>
                      </w:pPr>
                      <w:bookmarkStart w:id="13" w:name="OLE_LINK2"/>
                      <w:bookmarkStart w:id="14" w:name="OLE_LINK3"/>
                      <w:bookmarkStart w:id="15" w:name="_Hlk131002890"/>
                      <w:r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>F 0</w:t>
                      </w:r>
                      <w:r w:rsidR="0010761E"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>/2023 CH-AVA-2300014</w:t>
                      </w:r>
                      <w:r w:rsidR="003912C9"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 xml:space="preserve"> v.2</w:t>
                      </w:r>
                      <w:bookmarkEnd w:id="13"/>
                      <w:bookmarkEnd w:id="14"/>
                      <w:bookmarkEnd w:id="15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925BB" w:rsidRPr="009925BB" w:rsidSect="00DF3303">
      <w:footerReference w:type="default" r:id="rId15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CSL Vifor" w:date="2023-01-20T17:57:00Z" w:initials="CSL">
    <w:p w14:paraId="76DAC544" w14:textId="77777777" w:rsidR="008F749D" w:rsidRPr="009F2D6A" w:rsidRDefault="008F749D" w:rsidP="00F37063">
      <w:pPr>
        <w:pStyle w:val="CommentText"/>
        <w:rPr>
          <w:lang w:val="fr-CH"/>
        </w:rPr>
      </w:pPr>
      <w:r>
        <w:rPr>
          <w:rStyle w:val="CommentReference"/>
        </w:rPr>
        <w:annotationRef/>
      </w:r>
      <w:r>
        <w:rPr>
          <w:highlight w:val="yellow"/>
          <w:lang w:val="fr-CH"/>
        </w:rPr>
        <w:t xml:space="preserve">Description du </w:t>
      </w:r>
      <w:proofErr w:type="gramStart"/>
      <w:r>
        <w:rPr>
          <w:highlight w:val="yellow"/>
          <w:lang w:val="fr-CH"/>
        </w:rPr>
        <w:t>patient:</w:t>
      </w:r>
      <w:proofErr w:type="gramEnd"/>
      <w:r>
        <w:rPr>
          <w:highlight w:val="yellow"/>
          <w:lang w:val="fr-CH"/>
        </w:rPr>
        <w:t xml:space="preserve"> GPA/PAM, sévère, active</w:t>
      </w:r>
      <w:r>
        <w:rPr>
          <w:lang w:val="fr-CH"/>
        </w:rPr>
        <w:t>, participation des organes etc.</w:t>
      </w:r>
    </w:p>
  </w:comment>
  <w:comment w:id="4" w:author="CSL Vifor" w:date="2023-01-20T17:58:00Z" w:initials="CSL">
    <w:p w14:paraId="23D9AA60" w14:textId="77777777" w:rsidR="008F749D" w:rsidRPr="009F2D6A" w:rsidRDefault="008F749D" w:rsidP="0083110C">
      <w:pPr>
        <w:pStyle w:val="CommentText"/>
        <w:rPr>
          <w:lang w:val="fr-CH"/>
        </w:rPr>
      </w:pPr>
      <w:r>
        <w:rPr>
          <w:rStyle w:val="CommentReference"/>
        </w:rPr>
        <w:annotationRef/>
      </w:r>
      <w:r>
        <w:rPr>
          <w:highlight w:val="yellow"/>
          <w:lang w:val="fr-CH"/>
        </w:rPr>
        <w:t xml:space="preserve">Fournir des informations sur les principaux antécédents médicaux. Y compris le début et la fin du traitement, </w:t>
      </w:r>
      <w:proofErr w:type="spellStart"/>
      <w:r>
        <w:rPr>
          <w:highlight w:val="yellow"/>
          <w:lang w:val="fr-CH"/>
        </w:rPr>
        <w:t>unmet</w:t>
      </w:r>
      <w:proofErr w:type="spellEnd"/>
      <w:r>
        <w:rPr>
          <w:highlight w:val="yellow"/>
          <w:lang w:val="fr-CH"/>
        </w:rPr>
        <w:t xml:space="preserve"> </w:t>
      </w:r>
      <w:proofErr w:type="spellStart"/>
      <w:r>
        <w:rPr>
          <w:highlight w:val="yellow"/>
          <w:lang w:val="fr-CH"/>
        </w:rPr>
        <w:t>need</w:t>
      </w:r>
      <w:proofErr w:type="spellEnd"/>
      <w:r>
        <w:rPr>
          <w:highlight w:val="yellow"/>
          <w:lang w:val="fr-CH"/>
        </w:rPr>
        <w:t xml:space="preserve"> et la dose.</w:t>
      </w:r>
      <w:r>
        <w:rPr>
          <w:lang w:val="fr-CH"/>
        </w:rPr>
        <w:t xml:space="preserve"> </w:t>
      </w:r>
      <w:r>
        <w:rPr>
          <w:highlight w:val="yellow"/>
          <w:lang w:val="fr-CH"/>
        </w:rPr>
        <w:t>Historique détaillé de la maladie, y compris les modifications des valeurs cliniques</w:t>
      </w:r>
      <w:r>
        <w:rPr>
          <w:lang w:val="fr-CH"/>
        </w:rPr>
        <w:t xml:space="preserve"> etc.</w:t>
      </w:r>
    </w:p>
  </w:comment>
  <w:comment w:id="5" w:author="CSL Vifor" w:date="2023-01-20T17:58:00Z" w:initials="CSL">
    <w:p w14:paraId="588B872D" w14:textId="77777777" w:rsidR="008F749D" w:rsidRPr="009F2D6A" w:rsidRDefault="008F749D" w:rsidP="006C7D85">
      <w:pPr>
        <w:pStyle w:val="CommentText"/>
        <w:rPr>
          <w:lang w:val="fr-CH"/>
        </w:rPr>
      </w:pPr>
      <w:r>
        <w:rPr>
          <w:rStyle w:val="CommentReference"/>
        </w:rPr>
        <w:annotationRef/>
      </w:r>
      <w:r>
        <w:rPr>
          <w:highlight w:val="yellow"/>
          <w:lang w:val="fr-CH"/>
        </w:rPr>
        <w:t xml:space="preserve">Améliorations sous traitement par </w:t>
      </w:r>
      <w:proofErr w:type="spellStart"/>
      <w:r>
        <w:rPr>
          <w:highlight w:val="yellow"/>
          <w:lang w:val="fr-CH"/>
        </w:rPr>
        <w:t>Tavneos</w:t>
      </w:r>
      <w:proofErr w:type="spellEnd"/>
      <w:r>
        <w:rPr>
          <w:highlight w:val="yellow"/>
          <w:lang w:val="fr-CH"/>
        </w:rPr>
        <w:t xml:space="preserve"> ou améliorations attendues (valeurs cliniques, réduction des glucocorticoïdes, etc.)</w:t>
      </w:r>
    </w:p>
  </w:comment>
  <w:comment w:id="7" w:author="CSL Vifor" w:date="2023-01-20T17:58:00Z" w:initials="CSL">
    <w:p w14:paraId="02046446" w14:textId="77777777" w:rsidR="008F749D" w:rsidRPr="009F2D6A" w:rsidRDefault="008F749D" w:rsidP="009F6F40">
      <w:pPr>
        <w:pStyle w:val="CommentText"/>
        <w:rPr>
          <w:lang w:val="fr-CH"/>
        </w:rPr>
      </w:pPr>
      <w:r>
        <w:rPr>
          <w:rStyle w:val="CommentReference"/>
        </w:rPr>
        <w:annotationRef/>
      </w:r>
      <w:r>
        <w:rPr>
          <w:highlight w:val="yellow"/>
          <w:lang w:val="fr-CH"/>
        </w:rPr>
        <w:t>Description des raisons pour lesquelles l'alternative thérapeutique ne peut pas être utilisée, par exemple échec du traitement standard, contre-indications</w:t>
      </w:r>
      <w:r>
        <w:rPr>
          <w:lang w:val="fr-CH"/>
        </w:rPr>
        <w:t xml:space="preserve"> </w:t>
      </w:r>
      <w:r>
        <w:rPr>
          <w:highlight w:val="yellow"/>
          <w:lang w:val="fr-CH"/>
        </w:rPr>
        <w:t>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DAC544" w15:done="0"/>
  <w15:commentEx w15:paraId="23D9AA60" w15:done="0"/>
  <w15:commentEx w15:paraId="588B872D" w15:done="0"/>
  <w15:commentEx w15:paraId="020464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55493" w16cex:dateUtc="2023-01-20T16:57:00Z"/>
  <w16cex:commentExtensible w16cex:durableId="277554A9" w16cex:dateUtc="2023-01-20T16:58:00Z"/>
  <w16cex:commentExtensible w16cex:durableId="277554C0" w16cex:dateUtc="2023-01-20T16:58:00Z"/>
  <w16cex:commentExtensible w16cex:durableId="277554D7" w16cex:dateUtc="2023-01-20T1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DAC544" w16cid:durableId="27755493"/>
  <w16cid:commentId w16cid:paraId="23D9AA60" w16cid:durableId="277554A9"/>
  <w16cid:commentId w16cid:paraId="588B872D" w16cid:durableId="277554C0"/>
  <w16cid:commentId w16cid:paraId="02046446" w16cid:durableId="277554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12E1" w14:textId="77777777" w:rsidR="006C7E78" w:rsidRDefault="006C7E78" w:rsidP="009925BB">
      <w:pPr>
        <w:spacing w:after="0" w:line="240" w:lineRule="auto"/>
      </w:pPr>
      <w:r>
        <w:separator/>
      </w:r>
    </w:p>
  </w:endnote>
  <w:endnote w:type="continuationSeparator" w:id="0">
    <w:p w14:paraId="31E1A1D6" w14:textId="77777777" w:rsidR="006C7E78" w:rsidRDefault="006C7E78" w:rsidP="009925BB">
      <w:pPr>
        <w:spacing w:after="0" w:line="240" w:lineRule="auto"/>
      </w:pPr>
      <w:r>
        <w:continuationSeparator/>
      </w:r>
    </w:p>
  </w:endnote>
  <w:endnote w:type="continuationNotice" w:id="1">
    <w:p w14:paraId="02F06714" w14:textId="77777777" w:rsidR="006C7E78" w:rsidRDefault="006C7E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12C1" w14:textId="35FD228A" w:rsidR="009925BB" w:rsidRPr="00DF3303" w:rsidRDefault="00CF64C0" w:rsidP="00DF3303">
    <w:pPr>
      <w:pStyle w:val="Footer"/>
      <w:jc w:val="righ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10F218" wp14:editId="22693BC5">
              <wp:simplePos x="0" y="0"/>
              <wp:positionH relativeFrom="margin">
                <wp:align>center</wp:align>
              </wp:positionH>
              <wp:positionV relativeFrom="paragraph">
                <wp:posOffset>119850</wp:posOffset>
              </wp:positionV>
              <wp:extent cx="1136650" cy="345440"/>
              <wp:effectExtent l="0" t="0" r="25400" b="165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6650" cy="3454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749AF9" id="Rectangle 1" o:spid="_x0000_s1026" style="position:absolute;margin-left:0;margin-top:9.45pt;width:89.5pt;height:27.2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01ewIAAH4FAAAOAAAAZHJzL2Uyb0RvYy54bWysVN9vGjEMfp+0/yHK+ziOAttQjwq16jSp&#10;atHo1OeQS7hIuThLAgf76+fkfsC6aQ/VeAjx2f5sf7F9fXOsNTkI5xWYguajMSXCcCiV2RX0+/P9&#10;h0+U+MBMyTQYUdCT8PRm+f7ddWMXYgIV6FI4giDGLxpb0CoEu8gyzytRMz8CKwwqJbiaBRTdLisd&#10;axC91tlkPJ5nDbjSOuDCe/x61yrpMuFLKXh4ktKLQHRBMbeQTpfObTyz5TVb7ByzleJdGuwNWdRM&#10;GQw6QN2xwMjeqT+gasUdeJBhxKHOQErFRaoBq8nHr6rZVMyKVAuS4+1Ak/9/sPzxsLFrhzQ01i88&#10;XmMVR+nq+I/5kWMi6zSQJY6BcPyY51fz+Qw55ai7ms6m08Rmdva2zocvAmoSLwV1+BiJI3Z48AEj&#10;omlvEoN50Kq8V1onITaAuNWOHBg+3XaXx6dCj9+stHmTI8JEz+xccrqFkxYRT5tvQhJVYpGTlHDq&#10;xnMyjHNhQt6qKlaKNsfZGH99ln36KecEGJElVjdgdwC9ZQvSY7fFdvbRVaRmHpzH/0qsdR48UmQw&#10;YXCulQH3NwCNVXWRW/uepJaayNIWytPaEQftKHnL7xU+7wPzYc0czg52BO6D8ISH1NAUlGtlKanA&#10;/Xz9LdphK6OGkgZnsKD+x545QYn+arDJP+exqUhIwnT2cYKCu9RsLzVmX98C9kqOG8fydI32QfdX&#10;6aB+wXWxilFRxQzH2JhgcL1wG9rdgAuHi9UqmeGgWhYezMbyCB7ZjG37fHxhzna9HXAqHqGfV7Z4&#10;1eKtbfQ0sNoHkCr1/5nPjmcc8tQw3UKKW+RSTlbntbn8BQAA//8DAFBLAwQUAAYACAAAACEAylEs&#10;CdwAAAAGAQAADwAAAGRycy9kb3ducmV2LnhtbEyPQUvDQBCF74L/YRnBm93YgmnSbIqIIoIHbQU9&#10;TrOzSWh2N2Q3afz3Tk/2+N4b3vum2M62ExMNofVOwf0iAUGu8rp1tYKv/cvdGkSI6DR23pGCXwqw&#10;La+vCsy1P7lPmnaxFlziQo4Kmhj7XMpQNWQxLHxPjjPjB4uR5VBLPeCJy20nl0nyIC22jhca7Omp&#10;oeq4G62CH4Ov++e38C7NcjJZ+zF+m3RU6vZmftyAiDTH/2M44zM6lMx08KPTQXQK+JHI7joDcU7T&#10;jI2DgnS1AlkW8hK//AMAAP//AwBQSwECLQAUAAYACAAAACEAtoM4kv4AAADhAQAAEwAAAAAAAAAA&#10;AAAAAAAAAAAAW0NvbnRlbnRfVHlwZXNdLnhtbFBLAQItABQABgAIAAAAIQA4/SH/1gAAAJQBAAAL&#10;AAAAAAAAAAAAAAAAAC8BAABfcmVscy8ucmVsc1BLAQItABQABgAIAAAAIQBDXr01ewIAAH4FAAAO&#10;AAAAAAAAAAAAAAAAAC4CAABkcnMvZTJvRG9jLnhtbFBLAQItABQABgAIAAAAIQDKUSwJ3AAAAAYB&#10;AAAPAAAAAAAAAAAAAAAAANUEAABkcnMvZG93bnJldi54bWxQSwUGAAAAAAQABADzAAAA3gUAAAAA&#10;" fillcolor="white [3212]" strokecolor="white [3212]" strokeweight="1pt">
              <w10:wrap anchorx="margin"/>
            </v:rect>
          </w:pict>
        </mc:Fallback>
      </mc:AlternateContent>
    </w:r>
    <w:sdt>
      <w:sdtPr>
        <w:id w:val="-517933027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DD2AC2">
          <w:rPr>
            <w:sz w:val="18"/>
            <w:szCs w:val="18"/>
          </w:rPr>
          <w:t>Page</w:t>
        </w:r>
        <w:r w:rsidR="00DF3303" w:rsidRPr="00DF3303">
          <w:rPr>
            <w:sz w:val="18"/>
            <w:szCs w:val="18"/>
          </w:rPr>
          <w:t xml:space="preserve"> </w:t>
        </w:r>
        <w:r w:rsidR="00DF3303" w:rsidRPr="00DF3303">
          <w:rPr>
            <w:sz w:val="18"/>
            <w:szCs w:val="18"/>
          </w:rPr>
          <w:fldChar w:fldCharType="begin"/>
        </w:r>
        <w:r w:rsidR="00DF3303" w:rsidRPr="00DF3303">
          <w:rPr>
            <w:sz w:val="18"/>
            <w:szCs w:val="18"/>
          </w:rPr>
          <w:instrText xml:space="preserve"> PAGE   \* MERGEFORMAT </w:instrText>
        </w:r>
        <w:r w:rsidR="00DF3303" w:rsidRPr="00DF3303">
          <w:rPr>
            <w:sz w:val="18"/>
            <w:szCs w:val="18"/>
          </w:rPr>
          <w:fldChar w:fldCharType="separate"/>
        </w:r>
        <w:r w:rsidR="00DF3303" w:rsidRPr="00DF3303">
          <w:rPr>
            <w:noProof/>
            <w:sz w:val="18"/>
            <w:szCs w:val="18"/>
          </w:rPr>
          <w:t>2</w:t>
        </w:r>
        <w:r w:rsidR="00DF3303" w:rsidRPr="00DF3303">
          <w:rPr>
            <w:sz w:val="18"/>
            <w:szCs w:val="18"/>
          </w:rPr>
          <w:fldChar w:fldCharType="end"/>
        </w:r>
        <w:r w:rsidR="00DF3303" w:rsidRPr="00DF3303">
          <w:rPr>
            <w:sz w:val="18"/>
            <w:szCs w:val="18"/>
          </w:rPr>
          <w:t xml:space="preserve"> </w:t>
        </w:r>
        <w:r w:rsidR="00DD2AC2">
          <w:rPr>
            <w:sz w:val="18"/>
            <w:szCs w:val="18"/>
          </w:rPr>
          <w:t>de</w:t>
        </w:r>
        <w:r w:rsidR="00DF3303" w:rsidRPr="00DF3303">
          <w:rPr>
            <w:sz w:val="18"/>
            <w:szCs w:val="18"/>
          </w:rPr>
          <w:t xml:space="preserve"> </w:t>
        </w:r>
        <w:r w:rsidR="00DF3303" w:rsidRPr="00DF3303">
          <w:rPr>
            <w:sz w:val="18"/>
            <w:szCs w:val="18"/>
          </w:rPr>
          <w:fldChar w:fldCharType="begin"/>
        </w:r>
        <w:r w:rsidR="00DF3303" w:rsidRPr="00DF3303">
          <w:rPr>
            <w:sz w:val="18"/>
            <w:szCs w:val="18"/>
          </w:rPr>
          <w:instrText xml:space="preserve"> NUMPAGES   \* MERGEFORMAT </w:instrText>
        </w:r>
        <w:r w:rsidR="00DF3303" w:rsidRPr="00DF3303">
          <w:rPr>
            <w:sz w:val="18"/>
            <w:szCs w:val="18"/>
          </w:rPr>
          <w:fldChar w:fldCharType="separate"/>
        </w:r>
        <w:r w:rsidR="00DF3303" w:rsidRPr="00DF3303">
          <w:rPr>
            <w:noProof/>
            <w:sz w:val="18"/>
            <w:szCs w:val="18"/>
          </w:rPr>
          <w:t>2</w:t>
        </w:r>
        <w:r w:rsidR="00DF3303" w:rsidRPr="00DF3303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4852" w14:textId="77777777" w:rsidR="006C7E78" w:rsidRDefault="006C7E78" w:rsidP="009925BB">
      <w:pPr>
        <w:spacing w:after="0" w:line="240" w:lineRule="auto"/>
      </w:pPr>
      <w:r>
        <w:separator/>
      </w:r>
    </w:p>
  </w:footnote>
  <w:footnote w:type="continuationSeparator" w:id="0">
    <w:p w14:paraId="1A7BD4DB" w14:textId="77777777" w:rsidR="006C7E78" w:rsidRDefault="006C7E78" w:rsidP="009925BB">
      <w:pPr>
        <w:spacing w:after="0" w:line="240" w:lineRule="auto"/>
      </w:pPr>
      <w:r>
        <w:continuationSeparator/>
      </w:r>
    </w:p>
  </w:footnote>
  <w:footnote w:type="continuationNotice" w:id="1">
    <w:p w14:paraId="22BC05C9" w14:textId="77777777" w:rsidR="006C7E78" w:rsidRDefault="006C7E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1207"/>
    <w:multiLevelType w:val="hybridMultilevel"/>
    <w:tmpl w:val="B296A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17B5"/>
    <w:multiLevelType w:val="hybridMultilevel"/>
    <w:tmpl w:val="3BFE0D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9427C"/>
    <w:multiLevelType w:val="hybridMultilevel"/>
    <w:tmpl w:val="FB3E0E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15B7C"/>
    <w:multiLevelType w:val="hybridMultilevel"/>
    <w:tmpl w:val="BE402C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F6344"/>
    <w:multiLevelType w:val="hybridMultilevel"/>
    <w:tmpl w:val="9C9E035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9498D"/>
    <w:multiLevelType w:val="hybridMultilevel"/>
    <w:tmpl w:val="E5E2C0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44235"/>
    <w:multiLevelType w:val="hybridMultilevel"/>
    <w:tmpl w:val="396C34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872666">
    <w:abstractNumId w:val="1"/>
  </w:num>
  <w:num w:numId="2" w16cid:durableId="1545411668">
    <w:abstractNumId w:val="0"/>
  </w:num>
  <w:num w:numId="3" w16cid:durableId="80029840">
    <w:abstractNumId w:val="3"/>
  </w:num>
  <w:num w:numId="4" w16cid:durableId="76296573">
    <w:abstractNumId w:val="1"/>
  </w:num>
  <w:num w:numId="5" w16cid:durableId="170224332">
    <w:abstractNumId w:val="2"/>
  </w:num>
  <w:num w:numId="6" w16cid:durableId="79720018">
    <w:abstractNumId w:val="4"/>
  </w:num>
  <w:num w:numId="7" w16cid:durableId="615255978">
    <w:abstractNumId w:val="6"/>
  </w:num>
  <w:num w:numId="8" w16cid:durableId="1754887189">
    <w:abstractNumId w:val="5"/>
  </w:num>
  <w:num w:numId="9" w16cid:durableId="2059665964">
    <w:abstractNumId w:val="6"/>
  </w:num>
  <w:num w:numId="10" w16cid:durableId="1073553370">
    <w:abstractNumId w:val="5"/>
  </w:num>
  <w:num w:numId="11" w16cid:durableId="165579566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SL Vifor">
    <w15:presenceInfo w15:providerId="None" w15:userId="CSL Vif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BB"/>
    <w:rsid w:val="000035B0"/>
    <w:rsid w:val="00004DCE"/>
    <w:rsid w:val="00011A17"/>
    <w:rsid w:val="00025B69"/>
    <w:rsid w:val="00033302"/>
    <w:rsid w:val="00043639"/>
    <w:rsid w:val="00047AD5"/>
    <w:rsid w:val="00057219"/>
    <w:rsid w:val="00065CDC"/>
    <w:rsid w:val="0007200C"/>
    <w:rsid w:val="000860D8"/>
    <w:rsid w:val="00096B03"/>
    <w:rsid w:val="000C1986"/>
    <w:rsid w:val="000C63B1"/>
    <w:rsid w:val="000D12D7"/>
    <w:rsid w:val="000D5A53"/>
    <w:rsid w:val="000E4B51"/>
    <w:rsid w:val="0010761E"/>
    <w:rsid w:val="001476B9"/>
    <w:rsid w:val="00164B27"/>
    <w:rsid w:val="00164F6D"/>
    <w:rsid w:val="00172DCD"/>
    <w:rsid w:val="00174531"/>
    <w:rsid w:val="00177871"/>
    <w:rsid w:val="00180F80"/>
    <w:rsid w:val="001C1167"/>
    <w:rsid w:val="001C152E"/>
    <w:rsid w:val="001C78C3"/>
    <w:rsid w:val="001E0ACE"/>
    <w:rsid w:val="001E2B64"/>
    <w:rsid w:val="00201A31"/>
    <w:rsid w:val="002215DB"/>
    <w:rsid w:val="00233B4E"/>
    <w:rsid w:val="00240E2D"/>
    <w:rsid w:val="002411DC"/>
    <w:rsid w:val="00242157"/>
    <w:rsid w:val="002530F1"/>
    <w:rsid w:val="00256F39"/>
    <w:rsid w:val="002603D8"/>
    <w:rsid w:val="00264013"/>
    <w:rsid w:val="002755C3"/>
    <w:rsid w:val="002815DB"/>
    <w:rsid w:val="002824B1"/>
    <w:rsid w:val="002900D7"/>
    <w:rsid w:val="002A75E0"/>
    <w:rsid w:val="002A7C35"/>
    <w:rsid w:val="002B60A2"/>
    <w:rsid w:val="002E1432"/>
    <w:rsid w:val="002E3004"/>
    <w:rsid w:val="002F7209"/>
    <w:rsid w:val="00303975"/>
    <w:rsid w:val="00304B24"/>
    <w:rsid w:val="0031547E"/>
    <w:rsid w:val="00321EF6"/>
    <w:rsid w:val="00323B21"/>
    <w:rsid w:val="00334193"/>
    <w:rsid w:val="003816E8"/>
    <w:rsid w:val="003912C9"/>
    <w:rsid w:val="003B4A51"/>
    <w:rsid w:val="003B51C9"/>
    <w:rsid w:val="003B73A7"/>
    <w:rsid w:val="003C1414"/>
    <w:rsid w:val="003C2052"/>
    <w:rsid w:val="003D1773"/>
    <w:rsid w:val="003F1DFA"/>
    <w:rsid w:val="003F6940"/>
    <w:rsid w:val="004170E0"/>
    <w:rsid w:val="00426D58"/>
    <w:rsid w:val="004426F6"/>
    <w:rsid w:val="00444D88"/>
    <w:rsid w:val="00456F3B"/>
    <w:rsid w:val="00460300"/>
    <w:rsid w:val="00475975"/>
    <w:rsid w:val="004A0F8C"/>
    <w:rsid w:val="004A2C26"/>
    <w:rsid w:val="004B3AA5"/>
    <w:rsid w:val="004C061D"/>
    <w:rsid w:val="004F3EC3"/>
    <w:rsid w:val="004F6C11"/>
    <w:rsid w:val="005016DC"/>
    <w:rsid w:val="00502972"/>
    <w:rsid w:val="00512BD6"/>
    <w:rsid w:val="00513BDB"/>
    <w:rsid w:val="00523BDF"/>
    <w:rsid w:val="00537DA2"/>
    <w:rsid w:val="00553447"/>
    <w:rsid w:val="005667DD"/>
    <w:rsid w:val="0056732F"/>
    <w:rsid w:val="005713B2"/>
    <w:rsid w:val="00580C80"/>
    <w:rsid w:val="00594152"/>
    <w:rsid w:val="00596230"/>
    <w:rsid w:val="005A2AE1"/>
    <w:rsid w:val="005C1416"/>
    <w:rsid w:val="005C2663"/>
    <w:rsid w:val="005C27B6"/>
    <w:rsid w:val="005C2982"/>
    <w:rsid w:val="005D13BC"/>
    <w:rsid w:val="005E30EF"/>
    <w:rsid w:val="00617D40"/>
    <w:rsid w:val="0062055A"/>
    <w:rsid w:val="00622EBF"/>
    <w:rsid w:val="00635E45"/>
    <w:rsid w:val="00646EC7"/>
    <w:rsid w:val="00670F4F"/>
    <w:rsid w:val="0067714A"/>
    <w:rsid w:val="006800F0"/>
    <w:rsid w:val="0068023F"/>
    <w:rsid w:val="0068328E"/>
    <w:rsid w:val="006950D9"/>
    <w:rsid w:val="006952AD"/>
    <w:rsid w:val="006A02BF"/>
    <w:rsid w:val="006B3DB5"/>
    <w:rsid w:val="006C7E78"/>
    <w:rsid w:val="006D2EDC"/>
    <w:rsid w:val="006E14E0"/>
    <w:rsid w:val="007010C9"/>
    <w:rsid w:val="007074F7"/>
    <w:rsid w:val="0071353B"/>
    <w:rsid w:val="007242A4"/>
    <w:rsid w:val="00725B87"/>
    <w:rsid w:val="00726945"/>
    <w:rsid w:val="00732FC8"/>
    <w:rsid w:val="00751C4C"/>
    <w:rsid w:val="00752B25"/>
    <w:rsid w:val="007706F0"/>
    <w:rsid w:val="00772176"/>
    <w:rsid w:val="00782ADC"/>
    <w:rsid w:val="007851CF"/>
    <w:rsid w:val="00797DBE"/>
    <w:rsid w:val="007C2B44"/>
    <w:rsid w:val="007D30C3"/>
    <w:rsid w:val="007D4C9F"/>
    <w:rsid w:val="007D76F3"/>
    <w:rsid w:val="007E3AD6"/>
    <w:rsid w:val="007F50C6"/>
    <w:rsid w:val="00822941"/>
    <w:rsid w:val="008276A6"/>
    <w:rsid w:val="0083598D"/>
    <w:rsid w:val="00837150"/>
    <w:rsid w:val="00844AA6"/>
    <w:rsid w:val="0085304B"/>
    <w:rsid w:val="00891ED8"/>
    <w:rsid w:val="008924E9"/>
    <w:rsid w:val="0089258D"/>
    <w:rsid w:val="008A75A1"/>
    <w:rsid w:val="008B5475"/>
    <w:rsid w:val="008C1FEB"/>
    <w:rsid w:val="008C70E5"/>
    <w:rsid w:val="008F0139"/>
    <w:rsid w:val="008F43DE"/>
    <w:rsid w:val="008F749D"/>
    <w:rsid w:val="0090643A"/>
    <w:rsid w:val="00917557"/>
    <w:rsid w:val="00921033"/>
    <w:rsid w:val="00931CB6"/>
    <w:rsid w:val="0094631C"/>
    <w:rsid w:val="00974432"/>
    <w:rsid w:val="00977AAB"/>
    <w:rsid w:val="00990615"/>
    <w:rsid w:val="009925BB"/>
    <w:rsid w:val="009A2A30"/>
    <w:rsid w:val="009A3CD2"/>
    <w:rsid w:val="009B54F8"/>
    <w:rsid w:val="009B6FC5"/>
    <w:rsid w:val="009C7FA9"/>
    <w:rsid w:val="009E4123"/>
    <w:rsid w:val="009F2D6A"/>
    <w:rsid w:val="00A0621A"/>
    <w:rsid w:val="00A06A0C"/>
    <w:rsid w:val="00A06CF4"/>
    <w:rsid w:val="00A078A4"/>
    <w:rsid w:val="00A07E08"/>
    <w:rsid w:val="00A176C4"/>
    <w:rsid w:val="00A25602"/>
    <w:rsid w:val="00A25B51"/>
    <w:rsid w:val="00A272BA"/>
    <w:rsid w:val="00A30033"/>
    <w:rsid w:val="00A31703"/>
    <w:rsid w:val="00A57B3B"/>
    <w:rsid w:val="00A57E7A"/>
    <w:rsid w:val="00A65BF6"/>
    <w:rsid w:val="00A66202"/>
    <w:rsid w:val="00A93AFF"/>
    <w:rsid w:val="00AA2CE0"/>
    <w:rsid w:val="00AA70A8"/>
    <w:rsid w:val="00AB0652"/>
    <w:rsid w:val="00AB0957"/>
    <w:rsid w:val="00AB1EE8"/>
    <w:rsid w:val="00AC2B82"/>
    <w:rsid w:val="00AC3DD1"/>
    <w:rsid w:val="00B04E10"/>
    <w:rsid w:val="00B10275"/>
    <w:rsid w:val="00B14994"/>
    <w:rsid w:val="00B20DB9"/>
    <w:rsid w:val="00B62822"/>
    <w:rsid w:val="00B7107D"/>
    <w:rsid w:val="00B853E0"/>
    <w:rsid w:val="00B87839"/>
    <w:rsid w:val="00B9043A"/>
    <w:rsid w:val="00B9226F"/>
    <w:rsid w:val="00B926CC"/>
    <w:rsid w:val="00B92840"/>
    <w:rsid w:val="00B95B58"/>
    <w:rsid w:val="00B96EAE"/>
    <w:rsid w:val="00B973A7"/>
    <w:rsid w:val="00BD373C"/>
    <w:rsid w:val="00BE4AD9"/>
    <w:rsid w:val="00BE6AA8"/>
    <w:rsid w:val="00BF0D21"/>
    <w:rsid w:val="00BF1384"/>
    <w:rsid w:val="00BF4C7C"/>
    <w:rsid w:val="00BF7D63"/>
    <w:rsid w:val="00C03835"/>
    <w:rsid w:val="00C065AB"/>
    <w:rsid w:val="00C07941"/>
    <w:rsid w:val="00C40704"/>
    <w:rsid w:val="00C43FBB"/>
    <w:rsid w:val="00C7351A"/>
    <w:rsid w:val="00C76C1A"/>
    <w:rsid w:val="00C82D42"/>
    <w:rsid w:val="00C835D0"/>
    <w:rsid w:val="00CE5013"/>
    <w:rsid w:val="00CF2751"/>
    <w:rsid w:val="00CF64C0"/>
    <w:rsid w:val="00D10D9C"/>
    <w:rsid w:val="00D1255E"/>
    <w:rsid w:val="00D337A8"/>
    <w:rsid w:val="00D36A41"/>
    <w:rsid w:val="00D412A2"/>
    <w:rsid w:val="00D418A4"/>
    <w:rsid w:val="00D5116B"/>
    <w:rsid w:val="00D56AE8"/>
    <w:rsid w:val="00D70189"/>
    <w:rsid w:val="00D7067E"/>
    <w:rsid w:val="00D7109D"/>
    <w:rsid w:val="00D7577F"/>
    <w:rsid w:val="00D8082A"/>
    <w:rsid w:val="00D83514"/>
    <w:rsid w:val="00D903F3"/>
    <w:rsid w:val="00D978A6"/>
    <w:rsid w:val="00DA0E0F"/>
    <w:rsid w:val="00DA20DC"/>
    <w:rsid w:val="00DA3A87"/>
    <w:rsid w:val="00DA7ABC"/>
    <w:rsid w:val="00DB2C18"/>
    <w:rsid w:val="00DB5A47"/>
    <w:rsid w:val="00DC6602"/>
    <w:rsid w:val="00DD2AC2"/>
    <w:rsid w:val="00DF28CD"/>
    <w:rsid w:val="00DF3303"/>
    <w:rsid w:val="00DF509A"/>
    <w:rsid w:val="00DF740A"/>
    <w:rsid w:val="00E014E2"/>
    <w:rsid w:val="00E06013"/>
    <w:rsid w:val="00E43EF1"/>
    <w:rsid w:val="00E45895"/>
    <w:rsid w:val="00E45DC2"/>
    <w:rsid w:val="00E52ED2"/>
    <w:rsid w:val="00E577F7"/>
    <w:rsid w:val="00E579D9"/>
    <w:rsid w:val="00E62DAA"/>
    <w:rsid w:val="00E658B9"/>
    <w:rsid w:val="00E6743B"/>
    <w:rsid w:val="00E72DA9"/>
    <w:rsid w:val="00E8456F"/>
    <w:rsid w:val="00E860F7"/>
    <w:rsid w:val="00EA398B"/>
    <w:rsid w:val="00EC2286"/>
    <w:rsid w:val="00ED19CD"/>
    <w:rsid w:val="00ED455D"/>
    <w:rsid w:val="00EE2C2B"/>
    <w:rsid w:val="00EE3258"/>
    <w:rsid w:val="00EE73E7"/>
    <w:rsid w:val="00EF32B8"/>
    <w:rsid w:val="00EF59A3"/>
    <w:rsid w:val="00F02E1B"/>
    <w:rsid w:val="00F048B0"/>
    <w:rsid w:val="00F04A24"/>
    <w:rsid w:val="00F1198E"/>
    <w:rsid w:val="00F241CD"/>
    <w:rsid w:val="00F24478"/>
    <w:rsid w:val="00F502A2"/>
    <w:rsid w:val="00F50BB6"/>
    <w:rsid w:val="00F51C20"/>
    <w:rsid w:val="00F61B7A"/>
    <w:rsid w:val="00F6331D"/>
    <w:rsid w:val="00F6664D"/>
    <w:rsid w:val="00F70228"/>
    <w:rsid w:val="00F90167"/>
    <w:rsid w:val="00FB0EFF"/>
    <w:rsid w:val="00FC38AF"/>
    <w:rsid w:val="00FD7108"/>
    <w:rsid w:val="00FE463F"/>
    <w:rsid w:val="00FE5086"/>
    <w:rsid w:val="00FE76C3"/>
    <w:rsid w:val="012793F3"/>
    <w:rsid w:val="01AF129C"/>
    <w:rsid w:val="08E5C25E"/>
    <w:rsid w:val="0DDE297D"/>
    <w:rsid w:val="0F963C2B"/>
    <w:rsid w:val="1163CB91"/>
    <w:rsid w:val="16E737A8"/>
    <w:rsid w:val="1DC21D29"/>
    <w:rsid w:val="1DE1BB58"/>
    <w:rsid w:val="223841DC"/>
    <w:rsid w:val="22FC975F"/>
    <w:rsid w:val="243904CD"/>
    <w:rsid w:val="2690FFD7"/>
    <w:rsid w:val="2A78381E"/>
    <w:rsid w:val="2E137BF0"/>
    <w:rsid w:val="2F330CF9"/>
    <w:rsid w:val="305A9C60"/>
    <w:rsid w:val="331AA8AF"/>
    <w:rsid w:val="34EC0292"/>
    <w:rsid w:val="3761FA27"/>
    <w:rsid w:val="38A2A094"/>
    <w:rsid w:val="3970C1D6"/>
    <w:rsid w:val="3D77FE03"/>
    <w:rsid w:val="3DAF2B0A"/>
    <w:rsid w:val="3F238F35"/>
    <w:rsid w:val="494F96F5"/>
    <w:rsid w:val="4B2AA387"/>
    <w:rsid w:val="4B35E662"/>
    <w:rsid w:val="4C1E421C"/>
    <w:rsid w:val="54429186"/>
    <w:rsid w:val="5518D786"/>
    <w:rsid w:val="55E13683"/>
    <w:rsid w:val="5E67C673"/>
    <w:rsid w:val="6075BB5C"/>
    <w:rsid w:val="62408DE3"/>
    <w:rsid w:val="656CBC88"/>
    <w:rsid w:val="65C2442D"/>
    <w:rsid w:val="6CC64DB8"/>
    <w:rsid w:val="6DCD5612"/>
    <w:rsid w:val="6FAB970B"/>
    <w:rsid w:val="6FDD5F68"/>
    <w:rsid w:val="7EE3C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676FA7"/>
  <w15:chartTrackingRefBased/>
  <w15:docId w15:val="{5DFFAACD-EFD7-4AB7-ABD9-A6755C7B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5BB"/>
  </w:style>
  <w:style w:type="paragraph" w:styleId="Footer">
    <w:name w:val="footer"/>
    <w:basedOn w:val="Normal"/>
    <w:link w:val="FooterChar"/>
    <w:uiPriority w:val="99"/>
    <w:unhideWhenUsed/>
    <w:rsid w:val="0099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5BB"/>
  </w:style>
  <w:style w:type="paragraph" w:customStyle="1" w:styleId="xmsonormal">
    <w:name w:val="x_msonormal"/>
    <w:basedOn w:val="Normal"/>
    <w:rsid w:val="00AC3DD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C3DD1"/>
    <w:rPr>
      <w:color w:val="0563C1"/>
      <w:u w:val="single"/>
    </w:rPr>
  </w:style>
  <w:style w:type="table" w:styleId="TableGrid">
    <w:name w:val="Table Grid"/>
    <w:basedOn w:val="TableNormal"/>
    <w:uiPriority w:val="39"/>
    <w:rsid w:val="00AC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6A41"/>
    <w:pPr>
      <w:ind w:left="720"/>
      <w:contextualSpacing/>
    </w:pPr>
  </w:style>
  <w:style w:type="character" w:customStyle="1" w:styleId="normaltextrun">
    <w:name w:val="normaltextrun"/>
    <w:basedOn w:val="DefaultParagraphFont"/>
    <w:rsid w:val="00513BDB"/>
  </w:style>
  <w:style w:type="character" w:styleId="CommentReference">
    <w:name w:val="annotation reference"/>
    <w:basedOn w:val="DefaultParagraphFont"/>
    <w:uiPriority w:val="99"/>
    <w:semiHidden/>
    <w:unhideWhenUsed/>
    <w:rsid w:val="00680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0F0"/>
    <w:rPr>
      <w:b/>
      <w:bCs/>
      <w:sz w:val="20"/>
      <w:szCs w:val="20"/>
    </w:rPr>
  </w:style>
  <w:style w:type="character" w:customStyle="1" w:styleId="eop">
    <w:name w:val="eop"/>
    <w:basedOn w:val="DefaultParagraphFont"/>
    <w:rsid w:val="007E3AD6"/>
  </w:style>
  <w:style w:type="paragraph" w:styleId="NormalWeb">
    <w:name w:val="Normal (Web)"/>
    <w:basedOn w:val="Normal"/>
    <w:uiPriority w:val="99"/>
    <w:unhideWhenUsed/>
    <w:rsid w:val="00FE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ED4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7A586-D46C-47C4-847D-82853C340947}"/>
      </w:docPartPr>
      <w:docPartBody>
        <w:p w:rsidR="00273159" w:rsidRDefault="0056732F">
          <w:r w:rsidRPr="00627591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2F"/>
    <w:rsid w:val="00273159"/>
    <w:rsid w:val="003279EE"/>
    <w:rsid w:val="00440976"/>
    <w:rsid w:val="0056732F"/>
    <w:rsid w:val="00B2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3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B96D3538FB441ADCFB13658DDB378" ma:contentTypeVersion="12" ma:contentTypeDescription="Create a new document." ma:contentTypeScope="" ma:versionID="34d2be87f704b3e22cf11b53f5d422fe">
  <xsd:schema xmlns:xsd="http://www.w3.org/2001/XMLSchema" xmlns:xs="http://www.w3.org/2001/XMLSchema" xmlns:p="http://schemas.microsoft.com/office/2006/metadata/properties" xmlns:ns2="07c32329-06cd-4c67-8045-551dd3ed15bf" xmlns:ns3="4b2e941c-050c-487e-89d7-c0a0a429f995" targetNamespace="http://schemas.microsoft.com/office/2006/metadata/properties" ma:root="true" ma:fieldsID="07d1dfe82279dc1e21a779f4542a6783" ns2:_="" ns3:_="">
    <xsd:import namespace="07c32329-06cd-4c67-8045-551dd3ed15bf"/>
    <xsd:import namespace="4b2e941c-050c-487e-89d7-c0a0a429f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32329-06cd-4c67-8045-551dd3ed1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e941c-050c-487e-89d7-c0a0a429f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F2009-471E-4F2F-B061-3189479A1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87F20-13D3-4C08-A5B8-29992F035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400C0-444A-4E89-A60C-B8EED120F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32329-06cd-4c67-8045-551dd3ed15bf"/>
    <ds:schemaRef ds:uri="4b2e941c-050c-487e-89d7-c0a0a429f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49E3F1-6BDE-42ED-BB05-D7F78EDCAD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2993</Characters>
  <Application>Microsoft Office Word</Application>
  <DocSecurity>0</DocSecurity>
  <Lines>24</Lines>
  <Paragraphs>6</Paragraphs>
  <ScaleCrop>false</ScaleCrop>
  <Company>Vifor Pharma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Krafcsik, Dijana</dc:creator>
  <cp:keywords/>
  <dc:description/>
  <cp:lastModifiedBy>Zenner, Marietta [External]</cp:lastModifiedBy>
  <cp:revision>8</cp:revision>
  <dcterms:created xsi:type="dcterms:W3CDTF">2023-03-29T15:15:00Z</dcterms:created>
  <dcterms:modified xsi:type="dcterms:W3CDTF">2023-03-29T15:28:00Z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0x010100587B96D3538FB441ADCFB13658DDB378</vt:lpwstr>
  </property>
  <property fmtid="{D5CDD505-2E9C-101B-9397-08002B2CF9AE}" pid="3" name="MSIP_Label_cd146789-9338-440e-9bc2-d4582d10ca66_Enabled">
    <vt:lpwstr>true</vt:lpwstr>
  </property>
  <property fmtid="{D5CDD505-2E9C-101B-9397-08002B2CF9AE}" pid="4" name="MSIP_Label_cd146789-9338-440e-9bc2-d4582d10ca66_SetDate">
    <vt:lpwstr>2023-03-29T15:15:33Z</vt:lpwstr>
  </property>
  <property fmtid="{D5CDD505-2E9C-101B-9397-08002B2CF9AE}" pid="5" name="MSIP_Label_cd146789-9338-440e-9bc2-d4582d10ca66_Method">
    <vt:lpwstr>Standard</vt:lpwstr>
  </property>
  <property fmtid="{D5CDD505-2E9C-101B-9397-08002B2CF9AE}" pid="6" name="MSIP_Label_cd146789-9338-440e-9bc2-d4582d10ca66_Name">
    <vt:lpwstr>Business Use</vt:lpwstr>
  </property>
  <property fmtid="{D5CDD505-2E9C-101B-9397-08002B2CF9AE}" pid="7" name="MSIP_Label_cd146789-9338-440e-9bc2-d4582d10ca66_SiteId">
    <vt:lpwstr>6836a9c5-69f0-4135-9e6b-43d1f616b550</vt:lpwstr>
  </property>
  <property fmtid="{D5CDD505-2E9C-101B-9397-08002B2CF9AE}" pid="8" name="MSIP_Label_cd146789-9338-440e-9bc2-d4582d10ca66_ActionId">
    <vt:lpwstr>046cb965-c9b5-46b9-83bd-c3a5d527c3e6</vt:lpwstr>
  </property>
  <property fmtid="{D5CDD505-2E9C-101B-9397-08002B2CF9AE}" pid="9" name="MSIP_Label_cd146789-9338-440e-9bc2-d4582d10ca66_ContentBits">
    <vt:lpwstr>2</vt:lpwstr>
  </property>
</Properties>
</file>